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44" w:rsidRPr="0002475C" w:rsidRDefault="00BD2959" w:rsidP="002259D6">
      <w:pPr>
        <w:pStyle w:val="Title1"/>
        <w:spacing w:before="360"/>
      </w:pPr>
      <w:r>
        <w:t xml:space="preserve">STRUKTURE OF ACCESS CHARGES FOR USE OF RAILWAY INFRASTRUCTURE FOR PASSENGER AND FREIGHT TRAINS </w:t>
      </w:r>
    </w:p>
    <w:p w:rsidR="00095444" w:rsidRPr="0002475C" w:rsidRDefault="00BD2959" w:rsidP="00095444">
      <w:pPr>
        <w:pStyle w:val="Author"/>
        <w:rPr>
          <w:lang w:val="en-US"/>
        </w:rPr>
      </w:pPr>
      <w:r>
        <w:rPr>
          <w:lang w:val="en-US"/>
        </w:rPr>
        <w:t>Nikola Stojadinovic</w:t>
      </w:r>
      <w:r>
        <w:rPr>
          <w:rStyle w:val="FootnoteReference"/>
          <w:lang w:val="en-US"/>
        </w:rPr>
        <w:footnoteReference w:id="2"/>
      </w:r>
      <w:r w:rsidR="00095444" w:rsidRPr="0002475C">
        <w:rPr>
          <w:lang w:val="en-US"/>
        </w:rPr>
        <w:t xml:space="preserve">, </w:t>
      </w:r>
      <w:r>
        <w:rPr>
          <w:lang w:val="en-US"/>
        </w:rPr>
        <w:t>Mirjana Bugarinovic</w:t>
      </w:r>
      <w:r w:rsidR="00095444" w:rsidRPr="0002475C">
        <w:rPr>
          <w:rStyle w:val="FootnoteReference"/>
          <w:b w:val="0"/>
          <w:lang w:val="en-US"/>
        </w:rPr>
        <w:footnoteReference w:id="3"/>
      </w:r>
    </w:p>
    <w:p w:rsidR="00BD2959" w:rsidRPr="00BD2959" w:rsidRDefault="00DC475D" w:rsidP="00886CE4">
      <w:pPr>
        <w:pStyle w:val="abstractkeywords"/>
      </w:pPr>
      <w:r>
        <w:rPr>
          <w:b/>
          <w:lang w:val="en-US"/>
        </w:rPr>
        <w:t>Summary:</w:t>
      </w:r>
      <w:r w:rsidR="00095444" w:rsidRPr="0002475C">
        <w:rPr>
          <w:b/>
          <w:lang w:val="en-US"/>
        </w:rPr>
        <w:t xml:space="preserve"> </w:t>
      </w:r>
      <w:r w:rsidR="007C493E">
        <w:t xml:space="preserve">Charging system for use of Railway Infrastructure is one of the assumptions for introducing and opening of Rail Market and appearance of more traffic operators on it. European Union members had already introduced a charging system, but it is still early to generalize influence of Access Charges on market. </w:t>
      </w:r>
      <w:smartTag w:uri="urn:schemas-microsoft-com:office:smarttags" w:element="place">
        <w:smartTag w:uri="urn:schemas-microsoft-com:office:smarttags" w:element="country-region">
          <w:r w:rsidR="007C493E">
            <w:t>Serbia</w:t>
          </w:r>
        </w:smartTag>
      </w:smartTag>
      <w:r w:rsidR="007C493E">
        <w:t xml:space="preserve"> is in the process of accession to the EU and issue of Access Charges will be one of the necessary conditions to apply. Therefore, recognition of the way of solving a charging system in European Countries for Serbian Railway and </w:t>
      </w:r>
      <w:smartTag w:uri="urn:schemas-microsoft-com:office:smarttags" w:element="place">
        <w:smartTag w:uri="urn:schemas-microsoft-com:office:smarttags" w:element="country-region">
          <w:r w:rsidR="007C493E">
            <w:t>Serbia</w:t>
          </w:r>
        </w:smartTag>
      </w:smartTag>
      <w:r w:rsidR="007C493E">
        <w:t xml:space="preserve"> is important issue. How much should Structure of Access Charge be different for Passenger and Freight Trains due to the different market position and competitiveness of Passenger and Freight Traffic? In this paper will performed factors that influence on approach to choose structure for Access Charges, provide an overview and analysis  how other countries in Europe choose Access Charge, and regarding that -their experiences</w:t>
      </w:r>
      <w:r w:rsidR="00BD2959" w:rsidRPr="00BD2959">
        <w:t>.</w:t>
      </w:r>
    </w:p>
    <w:p w:rsidR="00BD2959" w:rsidRPr="0002475C" w:rsidRDefault="00BD2959" w:rsidP="007B367E">
      <w:pPr>
        <w:pStyle w:val="abstractkeywords"/>
        <w:rPr>
          <w:lang w:val="en-US"/>
        </w:rPr>
      </w:pPr>
    </w:p>
    <w:p w:rsidR="00095444" w:rsidRDefault="00095444" w:rsidP="00095444">
      <w:pPr>
        <w:pStyle w:val="abstractkeywords"/>
        <w:rPr>
          <w:lang w:val="en-US"/>
        </w:rPr>
      </w:pPr>
      <w:r w:rsidRPr="0002475C">
        <w:rPr>
          <w:b/>
          <w:lang w:val="en-US"/>
        </w:rPr>
        <w:t>Key words</w:t>
      </w:r>
      <w:r w:rsidRPr="0002475C">
        <w:rPr>
          <w:lang w:val="en-US"/>
        </w:rPr>
        <w:t xml:space="preserve">: </w:t>
      </w:r>
      <w:r w:rsidR="00691102">
        <w:rPr>
          <w:lang w:val="en-US"/>
        </w:rPr>
        <w:t>infrastructure, access charges</w:t>
      </w:r>
      <w:r w:rsidR="00D54281">
        <w:rPr>
          <w:lang w:val="en-US"/>
        </w:rPr>
        <w:t xml:space="preserve"> structure</w:t>
      </w:r>
      <w:r w:rsidR="00691102">
        <w:rPr>
          <w:lang w:val="en-US"/>
        </w:rPr>
        <w:t>, passengers and freight trains</w:t>
      </w:r>
      <w:r w:rsidRPr="0002475C">
        <w:rPr>
          <w:lang w:val="en-US"/>
        </w:rPr>
        <w:t xml:space="preserve"> </w:t>
      </w:r>
    </w:p>
    <w:p w:rsidR="00095444" w:rsidRPr="0002475C" w:rsidRDefault="00095444" w:rsidP="007B367E">
      <w:pPr>
        <w:pStyle w:val="Titke2"/>
      </w:pPr>
      <w:r>
        <w:t>Introduction</w:t>
      </w:r>
    </w:p>
    <w:p w:rsidR="006E1AC1" w:rsidRPr="001F00EB" w:rsidRDefault="007C493E" w:rsidP="00B93C2C">
      <w:pPr>
        <w:spacing w:beforeLines="40" w:afterLines="40"/>
        <w:jc w:val="both"/>
        <w:rPr>
          <w:noProof/>
          <w:lang w:val="sr-Latn-CS"/>
        </w:rPr>
      </w:pPr>
      <w:r>
        <w:t xml:space="preserve">Access Charges are representing Incumbents or Railway Operators payment obligation for using of Railway Infrastructure and Services given on it. It is introduced as establishing </w:t>
      </w:r>
      <w:r w:rsidRPr="00706AAE">
        <w:rPr>
          <w:b/>
        </w:rPr>
        <w:t xml:space="preserve">element </w:t>
      </w:r>
      <w:r>
        <w:t xml:space="preserve">of Railway market. On the other way it represents very important </w:t>
      </w:r>
      <w:r w:rsidRPr="00EC0BDB">
        <w:rPr>
          <w:b/>
        </w:rPr>
        <w:t>instrument</w:t>
      </w:r>
      <w:r>
        <w:t xml:space="preserve"> for achieving objectives, as for example </w:t>
      </w:r>
      <w:r>
        <w:lastRenderedPageBreak/>
        <w:t>increasing of efficiency, decreasing of subsidies and enlargement of competitiveness of Railway Traffic etc</w:t>
      </w:r>
      <w:r w:rsidR="006E1AC1" w:rsidRPr="001F00EB">
        <w:rPr>
          <w:noProof/>
          <w:lang w:val="sr-Latn-CS"/>
        </w:rPr>
        <w:t>.</w:t>
      </w:r>
    </w:p>
    <w:p w:rsidR="00000000" w:rsidRDefault="007C493E" w:rsidP="00B93C2C">
      <w:pPr>
        <w:spacing w:before="96" w:after="96"/>
        <w:ind w:firstLine="425"/>
        <w:jc w:val="both"/>
        <w:rPr>
          <w:lang w:val="sr-Latn-CS"/>
        </w:rPr>
      </w:pPr>
      <w:r>
        <w:t>Introduction of Access Charges has been regulated by EU through various directives, starting from 91/440 EEC. The Access Charges Area itself is defined by 2001/14 EC directive. Generally, all these directives are introducing certain limitation, but they are also leaving great autonomy in forming of model and structure of Access Charges</w:t>
      </w:r>
      <w:r w:rsidR="006E1AC1">
        <w:rPr>
          <w:noProof/>
          <w:lang w:val="sr-Latn-CS"/>
        </w:rPr>
        <w:t>.</w:t>
      </w:r>
    </w:p>
    <w:p w:rsidR="00406F4B" w:rsidRPr="00E34227" w:rsidRDefault="007C493E" w:rsidP="007C493E">
      <w:pPr>
        <w:spacing w:before="8" w:after="8"/>
        <w:ind w:firstLine="425"/>
        <w:jc w:val="both"/>
        <w:rPr>
          <w:lang w:val="en-US"/>
        </w:rPr>
      </w:pPr>
      <w:r>
        <w:t>Different conditions, in which Railways are situated, with given free choice in Access Charges selection, have produced a great number of Access Charges methodologies. Different principles, systems and structures of Access Charges are introduced and applied. If we take into consideration the structure of Access Charges itself, diversity is mostly represented in the way on which Railway Network and Train Category, meaning Passenger and Freight Trains, are treated</w:t>
      </w:r>
      <w:r w:rsidR="00406F4B">
        <w:rPr>
          <w:lang w:val="sr-Latn-CS"/>
        </w:rPr>
        <w:t xml:space="preserve">. </w:t>
      </w:r>
    </w:p>
    <w:p w:rsidR="00D93B7D" w:rsidRPr="00D93B7D" w:rsidRDefault="007C493E" w:rsidP="007C493E">
      <w:pPr>
        <w:spacing w:before="8" w:after="8"/>
        <w:ind w:firstLine="425"/>
        <w:jc w:val="both"/>
        <w:rPr>
          <w:lang w:val="sr-Latn-CS"/>
        </w:rPr>
      </w:pPr>
      <w:r>
        <w:t>In this paper is given short review on different ways for calculation of Charges for Passengers and Freight Trains. Perceptions of factors which are influencing on choice of Access Charges Structure are demonstrating another theme in this paper</w:t>
      </w:r>
      <w:r w:rsidR="001961F5">
        <w:rPr>
          <w:noProof/>
          <w:lang w:val="sr-Latn-CS"/>
        </w:rPr>
        <w:t>.</w:t>
      </w:r>
    </w:p>
    <w:p w:rsidR="00095444" w:rsidRPr="00D93B7D" w:rsidRDefault="00477F08" w:rsidP="00D93B7D">
      <w:pPr>
        <w:pStyle w:val="Titke2"/>
      </w:pPr>
      <w:r w:rsidRPr="00D93B7D">
        <w:t xml:space="preserve">Brief review of access charges </w:t>
      </w:r>
      <w:r w:rsidR="00BB705F">
        <w:t xml:space="preserve">in </w:t>
      </w:r>
      <w:r w:rsidR="0059608B">
        <w:t>some</w:t>
      </w:r>
      <w:r w:rsidR="00C90987">
        <w:t xml:space="preserve"> countries</w:t>
      </w:r>
    </w:p>
    <w:p w:rsidR="007C493E" w:rsidRDefault="007C493E" w:rsidP="007C493E">
      <w:pPr>
        <w:jc w:val="both"/>
      </w:pPr>
      <w:r>
        <w:t xml:space="preserve">Access Charges for using of Railway Infrastructure are applied </w:t>
      </w:r>
      <w:r w:rsidRPr="006A650F">
        <w:t xml:space="preserve">longest </w:t>
      </w:r>
      <w:r>
        <w:t xml:space="preserve">in </w:t>
      </w:r>
      <w:smartTag w:uri="urn:schemas-microsoft-com:office:smarttags" w:element="country-region">
        <w:r>
          <w:t>Sweden</w:t>
        </w:r>
      </w:smartTag>
      <w:r>
        <w:t xml:space="preserve">, </w:t>
      </w:r>
      <w:smartTag w:uri="urn:schemas-microsoft-com:office:smarttags" w:element="country-region">
        <w:r>
          <w:t>Great Britain</w:t>
        </w:r>
      </w:smartTag>
      <w:r>
        <w:t xml:space="preserve"> and </w:t>
      </w:r>
      <w:smartTag w:uri="urn:schemas-microsoft-com:office:smarttags" w:element="place">
        <w:smartTag w:uri="urn:schemas-microsoft-com:office:smarttags" w:element="country-region">
          <w:r>
            <w:t>Germany</w:t>
          </w:r>
        </w:smartTag>
      </w:smartTag>
      <w:r>
        <w:t xml:space="preserve">, so it is easy to understand that these countries have the biggest experience in this area. Most of the countries have structure of Access Charges according to directives, but: Sweden in this moment has Access Charges less than marginal costs, Germany and Poland are basing its Access Charges more on average than on marginal costs, and variation of mark-up level are from 0.5 to 10 € per driving km. For two parts tariff system the countries that have no problem with capacity and they want to develop more services categories, are determined, as for example </w:t>
      </w:r>
      <w:smartTag w:uri="urn:schemas-microsoft-com:office:smarttags" w:element="country-region">
        <w:r>
          <w:t>Bulgaria</w:t>
        </w:r>
      </w:smartTag>
      <w:r>
        <w:t xml:space="preserve"> and </w:t>
      </w:r>
      <w:smartTag w:uri="urn:schemas-microsoft-com:office:smarttags" w:element="place">
        <w:smartTag w:uri="urn:schemas-microsoft-com:office:smarttags" w:element="country-region">
          <w:r>
            <w:t>Hungary</w:t>
          </w:r>
        </w:smartTag>
      </w:smartTag>
      <w:r>
        <w:t xml:space="preserve">. </w:t>
      </w:r>
    </w:p>
    <w:p w:rsidR="007C493E" w:rsidRDefault="007C493E" w:rsidP="00F06EB1">
      <w:pPr>
        <w:autoSpaceDE w:val="0"/>
        <w:autoSpaceDN w:val="0"/>
        <w:adjustRightInd w:val="0"/>
        <w:ind w:firstLine="426"/>
        <w:jc w:val="both"/>
      </w:pPr>
      <w:r>
        <w:t>Therefore, there are countries with dominant Freight Traffic and great number of pan European Corridors that are passing over their territories, but with different infrastructure maintenance costs, as for example Austria and Hungary, and with implement of MC+ and FC principles of  Access Charges. Application of FC charging principles is present in Baltic countries which are characteristic by dominant Transit Freight Traffic</w:t>
      </w:r>
    </w:p>
    <w:p w:rsidR="00F06EB1" w:rsidRDefault="007C493E" w:rsidP="00F06EB1">
      <w:pPr>
        <w:autoSpaceDE w:val="0"/>
        <w:autoSpaceDN w:val="0"/>
        <w:adjustRightInd w:val="0"/>
        <w:ind w:firstLine="426"/>
        <w:jc w:val="both"/>
        <w:rPr>
          <w:lang w:val="en-US"/>
        </w:rPr>
      </w:pPr>
      <w:r>
        <w:t xml:space="preserve">Taking into consideration above mentioned, as well as exploitation parameters, Railway Market, geographical prevalent and National Interest of this </w:t>
      </w:r>
      <w:r>
        <w:lastRenderedPageBreak/>
        <w:t>countries we will take a short review on Access Charges application and condition of Railway Market in Germany, Austria, Belgium, France, Hungary and Latvia</w:t>
      </w:r>
      <w:r w:rsidR="00F06EB1">
        <w:rPr>
          <w:lang w:val="en-US"/>
        </w:rPr>
        <w:t>.</w:t>
      </w:r>
      <w:r w:rsidR="00F06EB1" w:rsidRPr="003C0AFC">
        <w:rPr>
          <w:lang w:val="en-US"/>
        </w:rPr>
        <w:t xml:space="preserve"> </w:t>
      </w:r>
    </w:p>
    <w:p w:rsidR="00095444" w:rsidRPr="00095444" w:rsidRDefault="00D7697A" w:rsidP="00095444">
      <w:pPr>
        <w:pStyle w:val="Titke2"/>
        <w:rPr>
          <w:lang w:val="fr-FR"/>
        </w:rPr>
      </w:pPr>
      <w:r>
        <w:rPr>
          <w:lang w:val="fr-FR"/>
        </w:rPr>
        <w:t xml:space="preserve">State of railway market in chosen countries with </w:t>
      </w:r>
      <w:r w:rsidR="00DF6BCA">
        <w:rPr>
          <w:lang w:val="fr-FR"/>
        </w:rPr>
        <w:t>emphasis on access charges</w:t>
      </w:r>
    </w:p>
    <w:p w:rsidR="00DF6BCA" w:rsidRDefault="00DF6BCA" w:rsidP="00095444">
      <w:pPr>
        <w:pStyle w:val="Title3"/>
        <w:rPr>
          <w:lang w:val="en-US"/>
        </w:rPr>
      </w:pPr>
      <w:r>
        <w:rPr>
          <w:lang w:val="en-US"/>
        </w:rPr>
        <w:t>Review of railway market</w:t>
      </w:r>
    </w:p>
    <w:p w:rsidR="00F06EB1" w:rsidRDefault="00F06EB1" w:rsidP="00F06EB1">
      <w:pPr>
        <w:pStyle w:val="Sectionfirst"/>
        <w:rPr>
          <w:sz w:val="16"/>
          <w:szCs w:val="16"/>
          <w:lang w:val="en-US"/>
        </w:rPr>
      </w:pPr>
    </w:p>
    <w:p w:rsidR="00F06EB1" w:rsidRDefault="007C493E" w:rsidP="00F06EB1">
      <w:pPr>
        <w:pStyle w:val="Sectionfirst"/>
        <w:rPr>
          <w:color w:val="FF0000"/>
          <w:lang w:val="en-US"/>
        </w:rPr>
      </w:pPr>
      <w:r>
        <w:t>In order to have a view on factors which are directly influencing on choice of Access Charges Structure, it is necessary to previously compare certain exploitation parameters, Railway Market and applied principles and level of Access Charges in certain countries</w:t>
      </w:r>
      <w:r w:rsidR="00F06EB1">
        <w:rPr>
          <w:lang w:val="en-US"/>
        </w:rPr>
        <w:t>.</w:t>
      </w:r>
    </w:p>
    <w:p w:rsidR="00303A6D" w:rsidRPr="005926DA" w:rsidRDefault="00B93C2C" w:rsidP="006E4993">
      <w:pPr>
        <w:pStyle w:val="Sectionfirst"/>
        <w:ind w:firstLine="426"/>
        <w:rPr>
          <w:lang w:val="en-US"/>
        </w:rPr>
      </w:pPr>
      <w:r>
        <w:t xml:space="preserve">As it can be seen on the Austrian example (table 1), performance analyses shows that Railway Network is of average complexity 1,76, with dominant import and export in Freight Traffic. According to traffic volume it belongs to countries with middle capacity traffic utilization. 29 operators is working on network, LIB index for both traffic categories is high: 852 for freight and 727 for passengers, which tells us how open this market is. On the other side applied principle of MC+, with 27% level of Access Charges shows how infrastructure manager (company) still depends on state subsidies. All this together is showing how </w:t>
      </w:r>
      <w:smartTag w:uri="urn:schemas-microsoft-com:office:smarttags" w:element="place">
        <w:smartTag w:uri="urn:schemas-microsoft-com:office:smarttags" w:element="country-region">
          <w:r>
            <w:t>Austria</w:t>
          </w:r>
        </w:smartTag>
      </w:smartTag>
      <w:r>
        <w:t xml:space="preserve"> wants to attract traffic on Railway, and that has more un-used capacity. These are primary factors that are influencing on the choice of principles and level of Access Charges, i.e. they are influencing on the structure of Access Charges</w:t>
      </w:r>
      <w:r w:rsidR="00F06EB1">
        <w:rPr>
          <w:lang w:val="en-US"/>
        </w:rPr>
        <w:t xml:space="preserve">. </w:t>
      </w:r>
      <w:r w:rsidR="00F06EB1" w:rsidRPr="0096046C">
        <w:rPr>
          <w:lang w:val="en-US"/>
        </w:rPr>
        <w:t xml:space="preserve">     </w:t>
      </w:r>
      <w:r w:rsidR="00544FBA">
        <w:rPr>
          <w:lang w:val="en-US"/>
        </w:rPr>
        <w:t xml:space="preserve"> </w:t>
      </w:r>
      <w:r w:rsidR="00544FBA" w:rsidRPr="0096046C">
        <w:rPr>
          <w:lang w:val="en-US"/>
        </w:rPr>
        <w:t xml:space="preserve">     </w:t>
      </w:r>
      <w:r w:rsidR="0096046C" w:rsidRPr="0096046C">
        <w:rPr>
          <w:lang w:val="en-US"/>
        </w:rPr>
        <w:t xml:space="preserve"> </w:t>
      </w:r>
    </w:p>
    <w:p w:rsidR="00DF6BCA" w:rsidRDefault="005B0D67" w:rsidP="005B0D67">
      <w:pPr>
        <w:pStyle w:val="Caption"/>
        <w:rPr>
          <w:lang w:val="en-US"/>
        </w:rPr>
      </w:pPr>
      <w:r>
        <w:rPr>
          <w:lang w:val="en-US"/>
        </w:rPr>
        <w:t>Tab.</w:t>
      </w:r>
      <w:r w:rsidR="00303A6D">
        <w:rPr>
          <w:lang w:val="en-US"/>
        </w:rPr>
        <w:t>1</w:t>
      </w:r>
      <w:r>
        <w:rPr>
          <w:lang w:val="en-US"/>
        </w:rPr>
        <w:t>:</w:t>
      </w:r>
      <w:r w:rsidR="00E47C14">
        <w:rPr>
          <w:lang w:val="en-US"/>
        </w:rPr>
        <w:t xml:space="preserve"> </w:t>
      </w:r>
      <w:r w:rsidR="006D776C">
        <w:rPr>
          <w:lang w:val="en-US"/>
        </w:rPr>
        <w:t>Key performances, financial and AC figures</w:t>
      </w:r>
    </w:p>
    <w:tbl>
      <w:tblPr>
        <w:tblW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810"/>
        <w:gridCol w:w="810"/>
        <w:gridCol w:w="810"/>
        <w:gridCol w:w="810"/>
        <w:gridCol w:w="810"/>
        <w:gridCol w:w="810"/>
        <w:gridCol w:w="810"/>
      </w:tblGrid>
      <w:tr w:rsidR="00236F56" w:rsidTr="006E4993">
        <w:tc>
          <w:tcPr>
            <w:tcW w:w="1101" w:type="dxa"/>
            <w:shd w:val="clear" w:color="auto" w:fill="C6D9F1"/>
            <w:vAlign w:val="center"/>
          </w:tcPr>
          <w:p w:rsidR="00236F56" w:rsidRPr="00EF7DC9" w:rsidRDefault="00236F56" w:rsidP="004A3186">
            <w:pPr>
              <w:rPr>
                <w:sz w:val="14"/>
                <w:szCs w:val="14"/>
                <w:lang w:val="en-US"/>
              </w:rPr>
            </w:pPr>
            <w:r w:rsidRPr="00EF7DC9">
              <w:rPr>
                <w:sz w:val="14"/>
                <w:szCs w:val="14"/>
                <w:lang w:val="en-US"/>
              </w:rPr>
              <w:t>Country</w:t>
            </w:r>
          </w:p>
        </w:tc>
        <w:tc>
          <w:tcPr>
            <w:tcW w:w="810" w:type="dxa"/>
            <w:shd w:val="clear" w:color="auto" w:fill="C6D9F1"/>
            <w:vAlign w:val="center"/>
          </w:tcPr>
          <w:p w:rsidR="00236F56" w:rsidRPr="00EF7DC9" w:rsidRDefault="00236F56" w:rsidP="00EF7DC9">
            <w:pPr>
              <w:jc w:val="center"/>
              <w:rPr>
                <w:sz w:val="14"/>
                <w:szCs w:val="14"/>
                <w:lang w:val="en-US"/>
              </w:rPr>
            </w:pPr>
            <w:r w:rsidRPr="00EF7DC9">
              <w:rPr>
                <w:sz w:val="14"/>
                <w:szCs w:val="14"/>
                <w:lang w:val="en-US"/>
              </w:rPr>
              <w:t>Austria</w:t>
            </w:r>
          </w:p>
        </w:tc>
        <w:tc>
          <w:tcPr>
            <w:tcW w:w="810" w:type="dxa"/>
            <w:shd w:val="clear" w:color="auto" w:fill="C6D9F1"/>
            <w:vAlign w:val="center"/>
          </w:tcPr>
          <w:p w:rsidR="00236F56" w:rsidRPr="00EF7DC9" w:rsidRDefault="00236F56" w:rsidP="00EF7DC9">
            <w:pPr>
              <w:jc w:val="center"/>
              <w:rPr>
                <w:sz w:val="14"/>
                <w:szCs w:val="14"/>
                <w:lang w:val="en-US"/>
              </w:rPr>
            </w:pPr>
            <w:r w:rsidRPr="00EF7DC9">
              <w:rPr>
                <w:sz w:val="14"/>
                <w:szCs w:val="14"/>
                <w:lang w:val="en-US"/>
              </w:rPr>
              <w:t>Belgium</w:t>
            </w:r>
          </w:p>
        </w:tc>
        <w:tc>
          <w:tcPr>
            <w:tcW w:w="810" w:type="dxa"/>
            <w:shd w:val="clear" w:color="auto" w:fill="C6D9F1"/>
            <w:vAlign w:val="center"/>
          </w:tcPr>
          <w:p w:rsidR="00236F56" w:rsidRPr="00EF7DC9" w:rsidRDefault="00236F56" w:rsidP="00EF7DC9">
            <w:pPr>
              <w:jc w:val="center"/>
              <w:rPr>
                <w:sz w:val="14"/>
                <w:szCs w:val="14"/>
                <w:lang w:val="en-US"/>
              </w:rPr>
            </w:pPr>
            <w:r w:rsidRPr="00EF7DC9">
              <w:rPr>
                <w:sz w:val="14"/>
                <w:szCs w:val="14"/>
                <w:lang w:val="en-US"/>
              </w:rPr>
              <w:t>France</w:t>
            </w:r>
          </w:p>
        </w:tc>
        <w:tc>
          <w:tcPr>
            <w:tcW w:w="810" w:type="dxa"/>
            <w:shd w:val="clear" w:color="auto" w:fill="C6D9F1"/>
            <w:vAlign w:val="center"/>
          </w:tcPr>
          <w:p w:rsidR="00236F56" w:rsidRPr="00EF7DC9" w:rsidRDefault="00236F56" w:rsidP="00EF7DC9">
            <w:pPr>
              <w:jc w:val="center"/>
              <w:rPr>
                <w:sz w:val="14"/>
                <w:szCs w:val="14"/>
                <w:lang w:val="en-US"/>
              </w:rPr>
            </w:pPr>
            <w:r w:rsidRPr="00EF7DC9">
              <w:rPr>
                <w:sz w:val="14"/>
                <w:szCs w:val="14"/>
                <w:lang w:val="en-US"/>
              </w:rPr>
              <w:t>Germany</w:t>
            </w:r>
          </w:p>
        </w:tc>
        <w:tc>
          <w:tcPr>
            <w:tcW w:w="810" w:type="dxa"/>
            <w:shd w:val="clear" w:color="auto" w:fill="C6D9F1"/>
            <w:vAlign w:val="center"/>
          </w:tcPr>
          <w:p w:rsidR="00236F56" w:rsidRPr="00EF7DC9" w:rsidRDefault="00236F56" w:rsidP="00EF7DC9">
            <w:pPr>
              <w:jc w:val="center"/>
              <w:rPr>
                <w:sz w:val="14"/>
                <w:szCs w:val="14"/>
                <w:lang w:val="en-US"/>
              </w:rPr>
            </w:pPr>
            <w:r w:rsidRPr="00EF7DC9">
              <w:rPr>
                <w:sz w:val="14"/>
                <w:szCs w:val="14"/>
                <w:lang w:val="en-US"/>
              </w:rPr>
              <w:t>Hungary</w:t>
            </w:r>
          </w:p>
        </w:tc>
        <w:tc>
          <w:tcPr>
            <w:tcW w:w="810" w:type="dxa"/>
            <w:shd w:val="clear" w:color="auto" w:fill="C6D9F1"/>
            <w:vAlign w:val="center"/>
          </w:tcPr>
          <w:p w:rsidR="00236F56" w:rsidRPr="00EF7DC9" w:rsidRDefault="00236F56" w:rsidP="00EF7DC9">
            <w:pPr>
              <w:jc w:val="center"/>
              <w:rPr>
                <w:sz w:val="14"/>
                <w:szCs w:val="14"/>
                <w:lang w:val="en-US"/>
              </w:rPr>
            </w:pPr>
            <w:r w:rsidRPr="00EF7DC9">
              <w:rPr>
                <w:sz w:val="14"/>
                <w:szCs w:val="14"/>
                <w:lang w:val="en-US"/>
              </w:rPr>
              <w:t>Latvia</w:t>
            </w:r>
          </w:p>
        </w:tc>
        <w:tc>
          <w:tcPr>
            <w:tcW w:w="810" w:type="dxa"/>
            <w:shd w:val="clear" w:color="auto" w:fill="C6D9F1"/>
            <w:vAlign w:val="center"/>
          </w:tcPr>
          <w:p w:rsidR="00236F56" w:rsidRPr="00EF7DC9" w:rsidRDefault="00236F56" w:rsidP="00EF7DC9">
            <w:pPr>
              <w:jc w:val="center"/>
              <w:rPr>
                <w:sz w:val="14"/>
                <w:szCs w:val="14"/>
                <w:lang w:val="en-US"/>
              </w:rPr>
            </w:pPr>
            <w:r w:rsidRPr="00EF7DC9">
              <w:rPr>
                <w:sz w:val="14"/>
                <w:szCs w:val="14"/>
                <w:lang w:val="en-US"/>
              </w:rPr>
              <w:t>Serbia</w:t>
            </w:r>
          </w:p>
        </w:tc>
      </w:tr>
      <w:tr w:rsidR="00236F56" w:rsidTr="006E4993">
        <w:tc>
          <w:tcPr>
            <w:tcW w:w="1101" w:type="dxa"/>
            <w:vAlign w:val="center"/>
          </w:tcPr>
          <w:p w:rsidR="00236F56" w:rsidRPr="00EF7DC9" w:rsidRDefault="00236F56" w:rsidP="004A3186">
            <w:pPr>
              <w:rPr>
                <w:sz w:val="14"/>
                <w:szCs w:val="14"/>
                <w:lang w:val="en-US"/>
              </w:rPr>
            </w:pPr>
            <w:r w:rsidRPr="00EF7DC9">
              <w:rPr>
                <w:sz w:val="14"/>
                <w:szCs w:val="14"/>
                <w:lang w:val="en-US"/>
              </w:rPr>
              <w:t>Territory size (km</w:t>
            </w:r>
            <w:r w:rsidRPr="00EF7DC9">
              <w:rPr>
                <w:sz w:val="14"/>
                <w:szCs w:val="14"/>
                <w:vertAlign w:val="superscript"/>
                <w:lang w:val="en-US"/>
              </w:rPr>
              <w:t>2</w:t>
            </w:r>
            <w:r w:rsidRPr="00EF7DC9">
              <w:rPr>
                <w:sz w:val="14"/>
                <w:szCs w:val="14"/>
                <w:lang w:val="en-US"/>
              </w:rPr>
              <w:t>)</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83.871</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30.528</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543.965</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357.030</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93.030</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64.598</w:t>
            </w:r>
          </w:p>
        </w:tc>
        <w:tc>
          <w:tcPr>
            <w:tcW w:w="810" w:type="dxa"/>
            <w:vAlign w:val="center"/>
          </w:tcPr>
          <w:p w:rsidR="00236F56" w:rsidRPr="00EF7DC9" w:rsidRDefault="00E746ED" w:rsidP="00EF7DC9">
            <w:pPr>
              <w:jc w:val="center"/>
              <w:rPr>
                <w:sz w:val="16"/>
                <w:szCs w:val="16"/>
                <w:lang w:val="en-US"/>
              </w:rPr>
            </w:pPr>
            <w:r w:rsidRPr="006E4993">
              <w:rPr>
                <w:sz w:val="14"/>
                <w:szCs w:val="16"/>
                <w:lang w:val="en-US"/>
              </w:rPr>
              <w:t>88.361</w:t>
            </w:r>
          </w:p>
        </w:tc>
      </w:tr>
      <w:tr w:rsidR="00236F56" w:rsidTr="006E4993">
        <w:tc>
          <w:tcPr>
            <w:tcW w:w="1101" w:type="dxa"/>
            <w:vAlign w:val="center"/>
          </w:tcPr>
          <w:p w:rsidR="00236F56" w:rsidRPr="00EF7DC9" w:rsidRDefault="00236F56" w:rsidP="004A3186">
            <w:pPr>
              <w:rPr>
                <w:sz w:val="14"/>
                <w:szCs w:val="14"/>
                <w:lang w:val="en-US"/>
              </w:rPr>
            </w:pPr>
            <w:r w:rsidRPr="00EF7DC9">
              <w:rPr>
                <w:sz w:val="14"/>
                <w:szCs w:val="14"/>
                <w:lang w:val="en-US"/>
              </w:rPr>
              <w:t>Line km</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5.386</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3.560</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29.289</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34.122</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7.420</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2.236</w:t>
            </w:r>
          </w:p>
        </w:tc>
        <w:tc>
          <w:tcPr>
            <w:tcW w:w="810" w:type="dxa"/>
            <w:vAlign w:val="center"/>
          </w:tcPr>
          <w:p w:rsidR="00236F56" w:rsidRPr="00EF7DC9" w:rsidRDefault="00E746ED" w:rsidP="00EF7DC9">
            <w:pPr>
              <w:jc w:val="center"/>
              <w:rPr>
                <w:sz w:val="14"/>
                <w:szCs w:val="16"/>
                <w:lang w:val="en-US"/>
              </w:rPr>
            </w:pPr>
            <w:r w:rsidRPr="00EF7DC9">
              <w:rPr>
                <w:sz w:val="14"/>
                <w:szCs w:val="16"/>
                <w:lang w:val="en-US"/>
              </w:rPr>
              <w:t>3.809</w:t>
            </w:r>
          </w:p>
        </w:tc>
      </w:tr>
      <w:tr w:rsidR="00236F56" w:rsidTr="006E4993">
        <w:tc>
          <w:tcPr>
            <w:tcW w:w="1101" w:type="dxa"/>
            <w:vAlign w:val="center"/>
          </w:tcPr>
          <w:p w:rsidR="00236F56" w:rsidRPr="00EF7DC9" w:rsidRDefault="00236F56" w:rsidP="004A3186">
            <w:pPr>
              <w:rPr>
                <w:sz w:val="14"/>
                <w:szCs w:val="14"/>
                <w:lang w:val="en-US"/>
              </w:rPr>
            </w:pPr>
            <w:r w:rsidRPr="00EF7DC9">
              <w:rPr>
                <w:sz w:val="14"/>
                <w:szCs w:val="14"/>
                <w:lang w:val="en-US"/>
              </w:rPr>
              <w:t>Complexity (track km/line km)</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1,76</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1,7</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1,8</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1,88</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1,13</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1,52</w:t>
            </w:r>
          </w:p>
        </w:tc>
        <w:tc>
          <w:tcPr>
            <w:tcW w:w="810" w:type="dxa"/>
            <w:vAlign w:val="center"/>
          </w:tcPr>
          <w:p w:rsidR="00236F56" w:rsidRPr="00EF7DC9" w:rsidRDefault="00236F56" w:rsidP="00EF7DC9">
            <w:pPr>
              <w:jc w:val="center"/>
              <w:rPr>
                <w:sz w:val="16"/>
                <w:szCs w:val="16"/>
                <w:lang w:val="en-US"/>
              </w:rPr>
            </w:pPr>
          </w:p>
        </w:tc>
      </w:tr>
      <w:tr w:rsidR="00236F56" w:rsidTr="00EF7DC9">
        <w:tc>
          <w:tcPr>
            <w:tcW w:w="6771" w:type="dxa"/>
            <w:gridSpan w:val="8"/>
            <w:shd w:val="clear" w:color="auto" w:fill="C6D9F1"/>
          </w:tcPr>
          <w:p w:rsidR="00236F56" w:rsidRPr="00EF7DC9" w:rsidRDefault="00236F56" w:rsidP="005F5523">
            <w:pPr>
              <w:rPr>
                <w:sz w:val="14"/>
                <w:szCs w:val="14"/>
                <w:lang w:val="en-US"/>
              </w:rPr>
            </w:pPr>
            <w:r w:rsidRPr="00EF7DC9">
              <w:rPr>
                <w:sz w:val="14"/>
                <w:szCs w:val="14"/>
                <w:lang w:val="en-US"/>
              </w:rPr>
              <w:t>Total train-km (thousands)</w:t>
            </w:r>
          </w:p>
        </w:tc>
      </w:tr>
      <w:tr w:rsidR="00236F56" w:rsidTr="006E4993">
        <w:tc>
          <w:tcPr>
            <w:tcW w:w="1101" w:type="dxa"/>
            <w:vAlign w:val="center"/>
          </w:tcPr>
          <w:p w:rsidR="00236F56" w:rsidRPr="00EF7DC9" w:rsidRDefault="00236F56" w:rsidP="00EF7DC9">
            <w:pPr>
              <w:pStyle w:val="ListParagraph"/>
              <w:numPr>
                <w:ilvl w:val="0"/>
                <w:numId w:val="21"/>
              </w:numPr>
              <w:tabs>
                <w:tab w:val="left" w:pos="142"/>
                <w:tab w:val="left" w:pos="345"/>
              </w:tabs>
              <w:ind w:left="142" w:hanging="142"/>
              <w:jc w:val="center"/>
              <w:rPr>
                <w:sz w:val="14"/>
                <w:szCs w:val="14"/>
                <w:lang w:val="en-US"/>
              </w:rPr>
            </w:pPr>
            <w:r w:rsidRPr="00EF7DC9">
              <w:rPr>
                <w:sz w:val="14"/>
                <w:szCs w:val="14"/>
                <w:lang w:val="en-US"/>
              </w:rPr>
              <w:t>for freight</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48.899</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14.979</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134.545</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203.472</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17.931</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16.766</w:t>
            </w:r>
          </w:p>
        </w:tc>
        <w:tc>
          <w:tcPr>
            <w:tcW w:w="810" w:type="dxa"/>
            <w:vAlign w:val="center"/>
          </w:tcPr>
          <w:p w:rsidR="00236F56" w:rsidRPr="00EF7DC9" w:rsidRDefault="00E746ED" w:rsidP="00EF7DC9">
            <w:pPr>
              <w:jc w:val="center"/>
              <w:rPr>
                <w:sz w:val="16"/>
                <w:szCs w:val="16"/>
                <w:lang w:val="en-US"/>
              </w:rPr>
            </w:pPr>
            <w:r w:rsidRPr="00EF7DC9">
              <w:rPr>
                <w:sz w:val="14"/>
                <w:szCs w:val="16"/>
                <w:lang w:val="en-US"/>
              </w:rPr>
              <w:t>4.338</w:t>
            </w:r>
          </w:p>
        </w:tc>
      </w:tr>
      <w:tr w:rsidR="00236F56" w:rsidTr="006E4993">
        <w:tc>
          <w:tcPr>
            <w:tcW w:w="1101" w:type="dxa"/>
            <w:vAlign w:val="center"/>
          </w:tcPr>
          <w:p w:rsidR="00236F56" w:rsidRPr="00EF7DC9" w:rsidRDefault="006E4993" w:rsidP="006E4993">
            <w:pPr>
              <w:pStyle w:val="ListParagraph"/>
              <w:tabs>
                <w:tab w:val="left" w:pos="284"/>
              </w:tabs>
              <w:ind w:left="0"/>
              <w:rPr>
                <w:sz w:val="14"/>
                <w:szCs w:val="14"/>
                <w:lang w:val="en-US"/>
              </w:rPr>
            </w:pPr>
            <w:r>
              <w:rPr>
                <w:sz w:val="14"/>
                <w:szCs w:val="14"/>
                <w:lang w:val="en-US"/>
              </w:rPr>
              <w:t xml:space="preserve">   – for pass. </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90.407</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78.306</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403.565</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702.710</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76.564</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9.440</w:t>
            </w:r>
          </w:p>
        </w:tc>
        <w:tc>
          <w:tcPr>
            <w:tcW w:w="810" w:type="dxa"/>
            <w:vAlign w:val="center"/>
          </w:tcPr>
          <w:p w:rsidR="00236F56" w:rsidRPr="00EF7DC9" w:rsidRDefault="00236F56" w:rsidP="00EF7DC9">
            <w:pPr>
              <w:jc w:val="center"/>
              <w:rPr>
                <w:sz w:val="16"/>
                <w:szCs w:val="16"/>
                <w:lang w:val="en-US"/>
              </w:rPr>
            </w:pPr>
          </w:p>
        </w:tc>
      </w:tr>
      <w:tr w:rsidR="00236F56" w:rsidTr="006E4993">
        <w:tc>
          <w:tcPr>
            <w:tcW w:w="1101" w:type="dxa"/>
            <w:vAlign w:val="center"/>
          </w:tcPr>
          <w:p w:rsidR="00236F56" w:rsidRPr="00EF7DC9" w:rsidRDefault="00236F56" w:rsidP="00EF7DC9">
            <w:pPr>
              <w:jc w:val="center"/>
              <w:rPr>
                <w:sz w:val="14"/>
                <w:szCs w:val="14"/>
                <w:lang w:val="en-US"/>
              </w:rPr>
            </w:pPr>
            <w:r w:rsidRPr="00EF7DC9">
              <w:rPr>
                <w:sz w:val="14"/>
                <w:szCs w:val="14"/>
                <w:lang w:val="en-US"/>
              </w:rPr>
              <w:t xml:space="preserve">Average </w:t>
            </w:r>
            <w:r w:rsidR="00C70F22" w:rsidRPr="00EF7DC9">
              <w:rPr>
                <w:sz w:val="14"/>
                <w:szCs w:val="14"/>
                <w:lang w:val="en-US"/>
              </w:rPr>
              <w:t>train weight gross tons (fre.</w:t>
            </w:r>
            <w:r w:rsidRPr="00EF7DC9">
              <w:rPr>
                <w:sz w:val="14"/>
                <w:szCs w:val="14"/>
                <w:lang w:val="en-US"/>
              </w:rPr>
              <w:t>/pass.)</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944/293</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1.349/328</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760/368</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1.322/341</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1.018/186</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2.932/274</w:t>
            </w:r>
          </w:p>
        </w:tc>
        <w:tc>
          <w:tcPr>
            <w:tcW w:w="810" w:type="dxa"/>
            <w:vAlign w:val="center"/>
          </w:tcPr>
          <w:p w:rsidR="00236F56" w:rsidRPr="00EF7DC9" w:rsidRDefault="00544FBA" w:rsidP="00EF7DC9">
            <w:pPr>
              <w:jc w:val="center"/>
              <w:rPr>
                <w:sz w:val="16"/>
                <w:szCs w:val="16"/>
                <w:lang w:val="en-US"/>
              </w:rPr>
            </w:pPr>
            <w:r>
              <w:rPr>
                <w:sz w:val="16"/>
                <w:szCs w:val="16"/>
                <w:lang w:val="en-US"/>
              </w:rPr>
              <w:t>1000/?</w:t>
            </w:r>
          </w:p>
        </w:tc>
      </w:tr>
      <w:tr w:rsidR="00236F56" w:rsidTr="006E4993">
        <w:tc>
          <w:tcPr>
            <w:tcW w:w="1101" w:type="dxa"/>
            <w:vAlign w:val="center"/>
          </w:tcPr>
          <w:p w:rsidR="00236F56" w:rsidRPr="00EF7DC9" w:rsidRDefault="00236F56" w:rsidP="00C53D41">
            <w:pPr>
              <w:rPr>
                <w:sz w:val="14"/>
                <w:szCs w:val="14"/>
                <w:lang w:val="en-US"/>
              </w:rPr>
            </w:pPr>
            <w:r w:rsidRPr="00EF7DC9">
              <w:rPr>
                <w:sz w:val="14"/>
                <w:szCs w:val="14"/>
                <w:lang w:val="en-US"/>
              </w:rPr>
              <w:t>Predominant traffic</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freight export-import</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freight export-import</w:t>
            </w:r>
          </w:p>
        </w:tc>
        <w:tc>
          <w:tcPr>
            <w:tcW w:w="810" w:type="dxa"/>
            <w:vAlign w:val="center"/>
          </w:tcPr>
          <w:p w:rsidR="00236F56" w:rsidRPr="00EF7DC9" w:rsidRDefault="00B93C2C" w:rsidP="00EF7DC9">
            <w:pPr>
              <w:jc w:val="center"/>
              <w:rPr>
                <w:sz w:val="14"/>
                <w:szCs w:val="14"/>
                <w:lang w:val="en-US"/>
              </w:rPr>
            </w:pPr>
            <w:r w:rsidRPr="00EF7DC9">
              <w:rPr>
                <w:sz w:val="14"/>
                <w:szCs w:val="14"/>
                <w:lang w:val="en-US"/>
              </w:rPr>
              <w:t>domestic</w:t>
            </w:r>
            <w:r w:rsidR="00236F56" w:rsidRPr="00EF7DC9">
              <w:rPr>
                <w:sz w:val="14"/>
                <w:szCs w:val="14"/>
                <w:lang w:val="en-US"/>
              </w:rPr>
              <w:t xml:space="preserve"> passenger</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freight export-import</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freight export-import</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freight transit</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freight transit</w:t>
            </w:r>
          </w:p>
        </w:tc>
      </w:tr>
      <w:tr w:rsidR="00236F56" w:rsidTr="006E4993">
        <w:tc>
          <w:tcPr>
            <w:tcW w:w="1101" w:type="dxa"/>
            <w:vAlign w:val="center"/>
          </w:tcPr>
          <w:p w:rsidR="00236F56" w:rsidRPr="00EF7DC9" w:rsidRDefault="00236F56" w:rsidP="00236F56">
            <w:pPr>
              <w:rPr>
                <w:sz w:val="14"/>
                <w:szCs w:val="14"/>
                <w:lang w:val="en-US"/>
              </w:rPr>
            </w:pPr>
            <w:r w:rsidRPr="00EF7DC9">
              <w:rPr>
                <w:sz w:val="14"/>
                <w:szCs w:val="14"/>
                <w:lang w:val="en-US"/>
              </w:rPr>
              <w:t xml:space="preserve">Intensity of  use  TU (000)/ </w:t>
            </w:r>
            <w:r w:rsidRPr="00EF7DC9">
              <w:rPr>
                <w:sz w:val="14"/>
                <w:szCs w:val="14"/>
                <w:lang w:val="en-US"/>
              </w:rPr>
              <w:lastRenderedPageBreak/>
              <w:t>line km</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lastRenderedPageBreak/>
              <w:t>5.240</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5.460</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4.140</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4.780</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2.160</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7.270</w:t>
            </w:r>
          </w:p>
        </w:tc>
        <w:tc>
          <w:tcPr>
            <w:tcW w:w="810" w:type="dxa"/>
            <w:vAlign w:val="center"/>
          </w:tcPr>
          <w:p w:rsidR="00236F56" w:rsidRPr="00EF7DC9" w:rsidRDefault="00495953" w:rsidP="00EF7DC9">
            <w:pPr>
              <w:jc w:val="center"/>
              <w:rPr>
                <w:sz w:val="14"/>
                <w:szCs w:val="14"/>
                <w:lang w:val="en-US"/>
              </w:rPr>
            </w:pPr>
            <w:r w:rsidRPr="00EF7DC9">
              <w:rPr>
                <w:sz w:val="14"/>
                <w:szCs w:val="14"/>
                <w:lang w:val="en-US"/>
              </w:rPr>
              <w:t>223</w:t>
            </w:r>
          </w:p>
        </w:tc>
      </w:tr>
      <w:tr w:rsidR="00236F56" w:rsidTr="006E4993">
        <w:tc>
          <w:tcPr>
            <w:tcW w:w="1101" w:type="dxa"/>
            <w:vAlign w:val="center"/>
          </w:tcPr>
          <w:p w:rsidR="00236F56" w:rsidRPr="00EF7DC9" w:rsidRDefault="00236F56" w:rsidP="00236F56">
            <w:pPr>
              <w:rPr>
                <w:sz w:val="14"/>
                <w:szCs w:val="14"/>
                <w:lang w:val="en-US"/>
              </w:rPr>
            </w:pPr>
            <w:r w:rsidRPr="00EF7DC9">
              <w:rPr>
                <w:sz w:val="14"/>
                <w:szCs w:val="14"/>
                <w:lang w:val="en-US"/>
              </w:rPr>
              <w:lastRenderedPageBreak/>
              <w:t>Daily number of trains per line km</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75</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88</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52</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80</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50</w:t>
            </w:r>
          </w:p>
        </w:tc>
        <w:tc>
          <w:tcPr>
            <w:tcW w:w="810" w:type="dxa"/>
            <w:vAlign w:val="center"/>
          </w:tcPr>
          <w:p w:rsidR="00236F56" w:rsidRPr="00EF7DC9" w:rsidRDefault="00236F56" w:rsidP="00EF7DC9">
            <w:pPr>
              <w:jc w:val="center"/>
              <w:rPr>
                <w:sz w:val="14"/>
                <w:szCs w:val="14"/>
                <w:lang w:val="en-US"/>
              </w:rPr>
            </w:pPr>
          </w:p>
        </w:tc>
        <w:tc>
          <w:tcPr>
            <w:tcW w:w="810" w:type="dxa"/>
            <w:vAlign w:val="center"/>
          </w:tcPr>
          <w:p w:rsidR="00236F56" w:rsidRPr="00EF7DC9" w:rsidRDefault="00D11CA3" w:rsidP="00EF7DC9">
            <w:pPr>
              <w:jc w:val="center"/>
              <w:rPr>
                <w:sz w:val="14"/>
                <w:szCs w:val="14"/>
                <w:lang w:val="en-US"/>
              </w:rPr>
            </w:pPr>
            <w:r w:rsidRPr="00EF7DC9">
              <w:rPr>
                <w:sz w:val="14"/>
                <w:szCs w:val="14"/>
                <w:lang w:val="en-US"/>
              </w:rPr>
              <w:t>0,13</w:t>
            </w:r>
          </w:p>
        </w:tc>
      </w:tr>
      <w:tr w:rsidR="00236F56" w:rsidTr="006E4993">
        <w:tc>
          <w:tcPr>
            <w:tcW w:w="1101" w:type="dxa"/>
            <w:vAlign w:val="center"/>
          </w:tcPr>
          <w:p w:rsidR="00236F56" w:rsidRPr="00EF7DC9" w:rsidRDefault="00236F56" w:rsidP="00236F56">
            <w:pPr>
              <w:rPr>
                <w:sz w:val="14"/>
                <w:szCs w:val="14"/>
                <w:lang w:val="en-US"/>
              </w:rPr>
            </w:pPr>
            <w:r w:rsidRPr="00EF7DC9">
              <w:rPr>
                <w:sz w:val="14"/>
                <w:szCs w:val="14"/>
                <w:lang w:val="en-US"/>
              </w:rPr>
              <w:t>Number of train operators (fre/pass)</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21/8</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6/1</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9/1</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318/78</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9/2</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3/3</w:t>
            </w:r>
          </w:p>
        </w:tc>
        <w:tc>
          <w:tcPr>
            <w:tcW w:w="810" w:type="dxa"/>
            <w:vAlign w:val="center"/>
          </w:tcPr>
          <w:p w:rsidR="00236F56" w:rsidRPr="00EF7DC9" w:rsidRDefault="00AE7611" w:rsidP="00EF7DC9">
            <w:pPr>
              <w:jc w:val="center"/>
              <w:rPr>
                <w:sz w:val="14"/>
                <w:szCs w:val="14"/>
                <w:lang w:val="en-US"/>
              </w:rPr>
            </w:pPr>
            <w:r>
              <w:rPr>
                <w:sz w:val="14"/>
                <w:szCs w:val="14"/>
                <w:lang w:val="en-US"/>
              </w:rPr>
              <w:t>2</w:t>
            </w:r>
            <w:r w:rsidR="00C70F22" w:rsidRPr="00EF7DC9">
              <w:rPr>
                <w:sz w:val="14"/>
                <w:szCs w:val="14"/>
                <w:lang w:val="en-US"/>
              </w:rPr>
              <w:t>/1</w:t>
            </w:r>
          </w:p>
        </w:tc>
      </w:tr>
      <w:tr w:rsidR="00236F56" w:rsidTr="00EF7DC9">
        <w:tc>
          <w:tcPr>
            <w:tcW w:w="6771" w:type="dxa"/>
            <w:gridSpan w:val="8"/>
            <w:shd w:val="clear" w:color="auto" w:fill="C6D9F1"/>
          </w:tcPr>
          <w:p w:rsidR="00236F56" w:rsidRPr="00EF7DC9" w:rsidRDefault="00236F56" w:rsidP="00EF7DC9">
            <w:pPr>
              <w:ind w:left="142"/>
              <w:rPr>
                <w:sz w:val="14"/>
                <w:szCs w:val="14"/>
                <w:lang w:val="en-US"/>
              </w:rPr>
            </w:pPr>
            <w:r w:rsidRPr="00EF7DC9">
              <w:rPr>
                <w:sz w:val="14"/>
                <w:szCs w:val="14"/>
                <w:lang w:val="en-US"/>
              </w:rPr>
              <w:t xml:space="preserve">IM total revenue (€/million) received by access charges </w:t>
            </w:r>
            <w:r w:rsidR="00D11CA3" w:rsidRPr="00EF7DC9">
              <w:rPr>
                <w:sz w:val="14"/>
                <w:szCs w:val="14"/>
                <w:lang w:val="en-US"/>
              </w:rPr>
              <w:t>from operators</w:t>
            </w:r>
          </w:p>
        </w:tc>
      </w:tr>
      <w:tr w:rsidR="00236F56" w:rsidTr="006E4993">
        <w:tc>
          <w:tcPr>
            <w:tcW w:w="1101" w:type="dxa"/>
            <w:vAlign w:val="center"/>
          </w:tcPr>
          <w:p w:rsidR="00236F56" w:rsidRPr="00EF7DC9" w:rsidRDefault="00236F56" w:rsidP="00EF7DC9">
            <w:pPr>
              <w:pStyle w:val="ListParagraph"/>
              <w:numPr>
                <w:ilvl w:val="0"/>
                <w:numId w:val="22"/>
              </w:numPr>
              <w:ind w:left="299" w:hanging="142"/>
              <w:rPr>
                <w:sz w:val="14"/>
                <w:szCs w:val="14"/>
                <w:lang w:val="en-US"/>
              </w:rPr>
            </w:pPr>
            <w:r w:rsidRPr="00EF7DC9">
              <w:rPr>
                <w:sz w:val="14"/>
                <w:szCs w:val="14"/>
                <w:lang w:val="en-US"/>
              </w:rPr>
              <w:t>fre</w:t>
            </w:r>
            <w:r w:rsidR="00D11CA3" w:rsidRPr="00EF7DC9">
              <w:rPr>
                <w:sz w:val="14"/>
                <w:szCs w:val="14"/>
                <w:lang w:val="en-US"/>
              </w:rPr>
              <w:t>ight</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145</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43,65</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246</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649</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119,5</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w:t>
            </w:r>
          </w:p>
        </w:tc>
        <w:tc>
          <w:tcPr>
            <w:tcW w:w="810" w:type="dxa"/>
            <w:vAlign w:val="center"/>
          </w:tcPr>
          <w:p w:rsidR="00236F56" w:rsidRPr="00EF7DC9" w:rsidRDefault="00C70F22" w:rsidP="00EF7DC9">
            <w:pPr>
              <w:jc w:val="center"/>
              <w:rPr>
                <w:sz w:val="14"/>
                <w:szCs w:val="14"/>
                <w:lang w:val="en-US"/>
              </w:rPr>
            </w:pPr>
            <w:r w:rsidRPr="00EF7DC9">
              <w:rPr>
                <w:sz w:val="14"/>
                <w:szCs w:val="14"/>
                <w:lang w:val="en-US"/>
              </w:rPr>
              <w:t>-</w:t>
            </w:r>
          </w:p>
        </w:tc>
      </w:tr>
      <w:tr w:rsidR="00236F56" w:rsidTr="006E4993">
        <w:tc>
          <w:tcPr>
            <w:tcW w:w="1101" w:type="dxa"/>
            <w:vAlign w:val="center"/>
          </w:tcPr>
          <w:p w:rsidR="00236F56" w:rsidRPr="00EF7DC9" w:rsidRDefault="00236F56" w:rsidP="00EF7DC9">
            <w:pPr>
              <w:pStyle w:val="ListParagraph"/>
              <w:numPr>
                <w:ilvl w:val="0"/>
                <w:numId w:val="22"/>
              </w:numPr>
              <w:ind w:left="284" w:hanging="142"/>
              <w:rPr>
                <w:sz w:val="14"/>
                <w:szCs w:val="14"/>
                <w:lang w:val="en-US"/>
              </w:rPr>
            </w:pPr>
            <w:r w:rsidRPr="00EF7DC9">
              <w:rPr>
                <w:sz w:val="14"/>
                <w:szCs w:val="14"/>
                <w:lang w:val="en-US"/>
              </w:rPr>
              <w:t>pass</w:t>
            </w:r>
            <w:r w:rsidR="00D11CA3" w:rsidRPr="00EF7DC9">
              <w:rPr>
                <w:sz w:val="14"/>
                <w:szCs w:val="14"/>
                <w:lang w:val="en-US"/>
              </w:rPr>
              <w:t>.</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180</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543</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2.463</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3.151</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318,7</w:t>
            </w:r>
          </w:p>
        </w:tc>
        <w:tc>
          <w:tcPr>
            <w:tcW w:w="810" w:type="dxa"/>
            <w:vAlign w:val="center"/>
          </w:tcPr>
          <w:p w:rsidR="00236F56" w:rsidRPr="00EF7DC9" w:rsidRDefault="00236F56" w:rsidP="00EF7DC9">
            <w:pPr>
              <w:jc w:val="center"/>
              <w:rPr>
                <w:sz w:val="14"/>
                <w:szCs w:val="14"/>
                <w:lang w:val="en-US"/>
              </w:rPr>
            </w:pPr>
            <w:r w:rsidRPr="00EF7DC9">
              <w:rPr>
                <w:sz w:val="14"/>
                <w:szCs w:val="14"/>
                <w:lang w:val="en-US"/>
              </w:rPr>
              <w:t>?</w:t>
            </w:r>
          </w:p>
        </w:tc>
        <w:tc>
          <w:tcPr>
            <w:tcW w:w="810" w:type="dxa"/>
            <w:vAlign w:val="center"/>
          </w:tcPr>
          <w:p w:rsidR="00236F56" w:rsidRPr="00EF7DC9" w:rsidRDefault="00C70F22" w:rsidP="00EF7DC9">
            <w:pPr>
              <w:jc w:val="center"/>
              <w:rPr>
                <w:sz w:val="14"/>
                <w:szCs w:val="14"/>
                <w:lang w:val="en-US"/>
              </w:rPr>
            </w:pPr>
            <w:r w:rsidRPr="00EF7DC9">
              <w:rPr>
                <w:sz w:val="14"/>
                <w:szCs w:val="14"/>
                <w:lang w:val="en-US"/>
              </w:rPr>
              <w:t>-</w:t>
            </w:r>
          </w:p>
        </w:tc>
      </w:tr>
      <w:tr w:rsidR="00236F56" w:rsidTr="00EF7DC9">
        <w:tc>
          <w:tcPr>
            <w:tcW w:w="6771" w:type="dxa"/>
            <w:gridSpan w:val="8"/>
            <w:shd w:val="clear" w:color="auto" w:fill="C6D9F1"/>
          </w:tcPr>
          <w:p w:rsidR="00236F56" w:rsidRPr="00EF7DC9" w:rsidRDefault="00236F56" w:rsidP="00DB5099">
            <w:pPr>
              <w:rPr>
                <w:sz w:val="14"/>
                <w:szCs w:val="14"/>
                <w:lang w:val="en-US"/>
              </w:rPr>
            </w:pPr>
            <w:r w:rsidRPr="00EF7DC9">
              <w:rPr>
                <w:sz w:val="14"/>
                <w:szCs w:val="14"/>
              </w:rPr>
              <w:t>Performances of  AC and opening of market in some countries</w:t>
            </w:r>
          </w:p>
        </w:tc>
      </w:tr>
      <w:tr w:rsidR="00236F56" w:rsidTr="006E4993">
        <w:tc>
          <w:tcPr>
            <w:tcW w:w="1101" w:type="dxa"/>
            <w:vAlign w:val="center"/>
          </w:tcPr>
          <w:p w:rsidR="00236F56" w:rsidRPr="00EF7DC9" w:rsidRDefault="00236F56" w:rsidP="00DB5099">
            <w:pPr>
              <w:rPr>
                <w:sz w:val="14"/>
                <w:szCs w:val="14"/>
                <w:lang w:val="en-US"/>
              </w:rPr>
            </w:pPr>
            <w:r w:rsidRPr="00EF7DC9">
              <w:rPr>
                <w:sz w:val="14"/>
                <w:szCs w:val="14"/>
              </w:rPr>
              <w:t>AC principle</w:t>
            </w:r>
          </w:p>
        </w:tc>
        <w:tc>
          <w:tcPr>
            <w:tcW w:w="810" w:type="dxa"/>
            <w:vAlign w:val="center"/>
          </w:tcPr>
          <w:p w:rsidR="00236F56" w:rsidRPr="00EF7DC9" w:rsidRDefault="00236F56" w:rsidP="00EF7DC9">
            <w:pPr>
              <w:jc w:val="center"/>
              <w:rPr>
                <w:sz w:val="14"/>
                <w:szCs w:val="14"/>
                <w:lang w:val="en-US"/>
              </w:rPr>
            </w:pPr>
            <w:r w:rsidRPr="00EF7DC9">
              <w:rPr>
                <w:sz w:val="14"/>
                <w:szCs w:val="14"/>
              </w:rPr>
              <w:t>М</w:t>
            </w:r>
            <w:r w:rsidRPr="00EF7DC9">
              <w:rPr>
                <w:sz w:val="14"/>
                <w:szCs w:val="14"/>
                <w:lang w:val="sr-Latn-CS"/>
              </w:rPr>
              <w:t>C</w:t>
            </w:r>
            <w:r w:rsidRPr="00EF7DC9">
              <w:rPr>
                <w:sz w:val="14"/>
                <w:szCs w:val="14"/>
              </w:rPr>
              <w:t>+</w:t>
            </w:r>
          </w:p>
        </w:tc>
        <w:tc>
          <w:tcPr>
            <w:tcW w:w="810" w:type="dxa"/>
            <w:vAlign w:val="center"/>
          </w:tcPr>
          <w:p w:rsidR="00236F56" w:rsidRPr="00EF7DC9" w:rsidRDefault="00236F56" w:rsidP="00EF7DC9">
            <w:pPr>
              <w:jc w:val="center"/>
              <w:rPr>
                <w:sz w:val="14"/>
                <w:szCs w:val="14"/>
                <w:lang w:val="en-US"/>
              </w:rPr>
            </w:pPr>
            <w:r w:rsidRPr="00EF7DC9">
              <w:rPr>
                <w:sz w:val="14"/>
                <w:szCs w:val="14"/>
                <w:lang w:val="sr-Latn-CS"/>
              </w:rPr>
              <w:t>FC</w:t>
            </w:r>
            <w:r w:rsidRPr="00EF7DC9">
              <w:rPr>
                <w:sz w:val="14"/>
                <w:szCs w:val="14"/>
              </w:rPr>
              <w:t>-</w:t>
            </w:r>
          </w:p>
        </w:tc>
        <w:tc>
          <w:tcPr>
            <w:tcW w:w="810" w:type="dxa"/>
            <w:vAlign w:val="center"/>
          </w:tcPr>
          <w:p w:rsidR="00236F56" w:rsidRPr="00EF7DC9" w:rsidRDefault="00236F56" w:rsidP="00EF7DC9">
            <w:pPr>
              <w:jc w:val="center"/>
              <w:rPr>
                <w:sz w:val="14"/>
                <w:szCs w:val="14"/>
                <w:lang w:val="en-US"/>
              </w:rPr>
            </w:pPr>
            <w:r w:rsidRPr="00EF7DC9">
              <w:rPr>
                <w:sz w:val="14"/>
                <w:szCs w:val="14"/>
              </w:rPr>
              <w:t>М</w:t>
            </w:r>
            <w:r w:rsidRPr="00EF7DC9">
              <w:rPr>
                <w:sz w:val="14"/>
                <w:szCs w:val="14"/>
                <w:lang w:val="sr-Latn-CS"/>
              </w:rPr>
              <w:t>C</w:t>
            </w:r>
            <w:r w:rsidRPr="00EF7DC9">
              <w:rPr>
                <w:sz w:val="14"/>
                <w:szCs w:val="14"/>
              </w:rPr>
              <w:t>+</w:t>
            </w:r>
          </w:p>
        </w:tc>
        <w:tc>
          <w:tcPr>
            <w:tcW w:w="810" w:type="dxa"/>
            <w:vAlign w:val="center"/>
          </w:tcPr>
          <w:p w:rsidR="00236F56" w:rsidRPr="00EF7DC9" w:rsidRDefault="00236F56" w:rsidP="00EF7DC9">
            <w:pPr>
              <w:jc w:val="center"/>
              <w:rPr>
                <w:sz w:val="14"/>
                <w:szCs w:val="14"/>
                <w:lang w:val="en-US"/>
              </w:rPr>
            </w:pPr>
            <w:r w:rsidRPr="00EF7DC9">
              <w:rPr>
                <w:sz w:val="14"/>
                <w:szCs w:val="14"/>
                <w:lang w:val="sr-Latn-CS"/>
              </w:rPr>
              <w:t>FC</w:t>
            </w:r>
            <w:r w:rsidRPr="00EF7DC9">
              <w:rPr>
                <w:sz w:val="14"/>
                <w:szCs w:val="14"/>
              </w:rPr>
              <w:t>-</w:t>
            </w:r>
          </w:p>
        </w:tc>
        <w:tc>
          <w:tcPr>
            <w:tcW w:w="810" w:type="dxa"/>
            <w:vAlign w:val="center"/>
          </w:tcPr>
          <w:p w:rsidR="00236F56" w:rsidRPr="00EF7DC9" w:rsidRDefault="00236F56" w:rsidP="00EF7DC9">
            <w:pPr>
              <w:jc w:val="center"/>
              <w:rPr>
                <w:sz w:val="14"/>
                <w:szCs w:val="14"/>
                <w:lang w:val="en-US"/>
              </w:rPr>
            </w:pPr>
            <w:r w:rsidRPr="00EF7DC9">
              <w:rPr>
                <w:sz w:val="14"/>
                <w:szCs w:val="14"/>
                <w:lang w:val="sr-Latn-CS"/>
              </w:rPr>
              <w:t>FC</w:t>
            </w:r>
          </w:p>
        </w:tc>
        <w:tc>
          <w:tcPr>
            <w:tcW w:w="810" w:type="dxa"/>
            <w:vAlign w:val="center"/>
          </w:tcPr>
          <w:p w:rsidR="00236F56" w:rsidRPr="00EF7DC9" w:rsidRDefault="00236F56" w:rsidP="00EF7DC9">
            <w:pPr>
              <w:jc w:val="center"/>
              <w:rPr>
                <w:sz w:val="14"/>
                <w:szCs w:val="14"/>
                <w:lang w:val="sr-Latn-CS"/>
              </w:rPr>
            </w:pPr>
            <w:r w:rsidRPr="00EF7DC9">
              <w:rPr>
                <w:sz w:val="14"/>
                <w:szCs w:val="14"/>
                <w:lang w:val="sr-Latn-CS"/>
              </w:rPr>
              <w:t>FC</w:t>
            </w:r>
          </w:p>
        </w:tc>
        <w:tc>
          <w:tcPr>
            <w:tcW w:w="810" w:type="dxa"/>
            <w:vAlign w:val="center"/>
          </w:tcPr>
          <w:p w:rsidR="00236F56" w:rsidRPr="00EF7DC9" w:rsidRDefault="00D11CA3" w:rsidP="00EF7DC9">
            <w:pPr>
              <w:jc w:val="center"/>
              <w:rPr>
                <w:sz w:val="14"/>
                <w:szCs w:val="14"/>
                <w:lang w:val="en-US"/>
              </w:rPr>
            </w:pPr>
            <w:r w:rsidRPr="00EF7DC9">
              <w:rPr>
                <w:sz w:val="14"/>
                <w:szCs w:val="14"/>
                <w:lang w:val="en-US"/>
              </w:rPr>
              <w:t>?</w:t>
            </w:r>
          </w:p>
        </w:tc>
      </w:tr>
      <w:tr w:rsidR="00236F56" w:rsidTr="006E4993">
        <w:tc>
          <w:tcPr>
            <w:tcW w:w="1101" w:type="dxa"/>
            <w:vAlign w:val="center"/>
          </w:tcPr>
          <w:p w:rsidR="00236F56" w:rsidRPr="00EF7DC9" w:rsidRDefault="00236F56" w:rsidP="00DB5099">
            <w:pPr>
              <w:rPr>
                <w:sz w:val="14"/>
                <w:szCs w:val="14"/>
                <w:lang w:val="en-US"/>
              </w:rPr>
            </w:pPr>
            <w:r w:rsidRPr="00EF7DC9">
              <w:rPr>
                <w:sz w:val="14"/>
                <w:szCs w:val="14"/>
              </w:rPr>
              <w:t>Level of AC (%)</w:t>
            </w:r>
          </w:p>
        </w:tc>
        <w:tc>
          <w:tcPr>
            <w:tcW w:w="810" w:type="dxa"/>
            <w:vAlign w:val="center"/>
          </w:tcPr>
          <w:p w:rsidR="00236F56" w:rsidRPr="00EF7DC9" w:rsidRDefault="00236F56" w:rsidP="00EF7DC9">
            <w:pPr>
              <w:jc w:val="center"/>
              <w:rPr>
                <w:sz w:val="14"/>
                <w:szCs w:val="14"/>
                <w:lang w:val="en-US"/>
              </w:rPr>
            </w:pPr>
            <w:r w:rsidRPr="00EF7DC9">
              <w:rPr>
                <w:sz w:val="14"/>
                <w:szCs w:val="14"/>
              </w:rPr>
              <w:t>27</w:t>
            </w:r>
          </w:p>
        </w:tc>
        <w:tc>
          <w:tcPr>
            <w:tcW w:w="810" w:type="dxa"/>
            <w:vAlign w:val="center"/>
          </w:tcPr>
          <w:p w:rsidR="00236F56" w:rsidRPr="00EF7DC9" w:rsidRDefault="00236F56" w:rsidP="00EF7DC9">
            <w:pPr>
              <w:jc w:val="center"/>
              <w:rPr>
                <w:sz w:val="14"/>
                <w:szCs w:val="14"/>
                <w:lang w:val="en-US"/>
              </w:rPr>
            </w:pPr>
            <w:r w:rsidRPr="00EF7DC9">
              <w:rPr>
                <w:sz w:val="14"/>
                <w:szCs w:val="14"/>
              </w:rPr>
              <w:t>20</w:t>
            </w:r>
          </w:p>
        </w:tc>
        <w:tc>
          <w:tcPr>
            <w:tcW w:w="810" w:type="dxa"/>
            <w:vAlign w:val="center"/>
          </w:tcPr>
          <w:p w:rsidR="00236F56" w:rsidRPr="00EF7DC9" w:rsidRDefault="00236F56" w:rsidP="00EF7DC9">
            <w:pPr>
              <w:jc w:val="center"/>
              <w:rPr>
                <w:sz w:val="14"/>
                <w:szCs w:val="14"/>
                <w:lang w:val="en-US"/>
              </w:rPr>
            </w:pPr>
            <w:r w:rsidRPr="00EF7DC9">
              <w:rPr>
                <w:sz w:val="14"/>
                <w:szCs w:val="14"/>
              </w:rPr>
              <w:t>63</w:t>
            </w:r>
          </w:p>
        </w:tc>
        <w:tc>
          <w:tcPr>
            <w:tcW w:w="810" w:type="dxa"/>
            <w:vAlign w:val="center"/>
          </w:tcPr>
          <w:p w:rsidR="00236F56" w:rsidRPr="00EF7DC9" w:rsidRDefault="00236F56" w:rsidP="00EF7DC9">
            <w:pPr>
              <w:jc w:val="center"/>
              <w:rPr>
                <w:sz w:val="14"/>
                <w:szCs w:val="14"/>
                <w:lang w:val="en-US"/>
              </w:rPr>
            </w:pPr>
            <w:r w:rsidRPr="00EF7DC9">
              <w:rPr>
                <w:sz w:val="14"/>
                <w:szCs w:val="14"/>
              </w:rPr>
              <w:t>60</w:t>
            </w:r>
          </w:p>
        </w:tc>
        <w:tc>
          <w:tcPr>
            <w:tcW w:w="810" w:type="dxa"/>
            <w:vAlign w:val="center"/>
          </w:tcPr>
          <w:p w:rsidR="00236F56" w:rsidRPr="00EF7DC9" w:rsidRDefault="00236F56" w:rsidP="00EF7DC9">
            <w:pPr>
              <w:jc w:val="center"/>
              <w:rPr>
                <w:sz w:val="14"/>
                <w:szCs w:val="14"/>
                <w:lang w:val="en-US"/>
              </w:rPr>
            </w:pPr>
            <w:r w:rsidRPr="00EF7DC9">
              <w:rPr>
                <w:sz w:val="14"/>
                <w:szCs w:val="14"/>
              </w:rPr>
              <w:t>80</w:t>
            </w:r>
          </w:p>
        </w:tc>
        <w:tc>
          <w:tcPr>
            <w:tcW w:w="810" w:type="dxa"/>
            <w:vAlign w:val="center"/>
          </w:tcPr>
          <w:p w:rsidR="00236F56" w:rsidRPr="00EF7DC9" w:rsidRDefault="00236F56" w:rsidP="00EF7DC9">
            <w:pPr>
              <w:jc w:val="center"/>
              <w:rPr>
                <w:sz w:val="14"/>
                <w:szCs w:val="14"/>
              </w:rPr>
            </w:pPr>
            <w:r w:rsidRPr="00EF7DC9">
              <w:rPr>
                <w:sz w:val="14"/>
                <w:szCs w:val="14"/>
              </w:rPr>
              <w:t>100</w:t>
            </w:r>
          </w:p>
        </w:tc>
        <w:tc>
          <w:tcPr>
            <w:tcW w:w="810" w:type="dxa"/>
            <w:vAlign w:val="center"/>
          </w:tcPr>
          <w:p w:rsidR="00236F56" w:rsidRPr="00EF7DC9" w:rsidRDefault="00D11CA3" w:rsidP="00EF7DC9">
            <w:pPr>
              <w:jc w:val="center"/>
              <w:rPr>
                <w:sz w:val="14"/>
                <w:szCs w:val="14"/>
                <w:lang w:val="en-US"/>
              </w:rPr>
            </w:pPr>
            <w:r w:rsidRPr="00EF7DC9">
              <w:rPr>
                <w:sz w:val="14"/>
                <w:szCs w:val="14"/>
                <w:lang w:val="en-US"/>
              </w:rPr>
              <w:t>?</w:t>
            </w:r>
          </w:p>
        </w:tc>
      </w:tr>
      <w:tr w:rsidR="00236F56" w:rsidTr="006E4993">
        <w:tc>
          <w:tcPr>
            <w:tcW w:w="1101" w:type="dxa"/>
            <w:vAlign w:val="center"/>
          </w:tcPr>
          <w:p w:rsidR="00236F56" w:rsidRPr="00EF7DC9" w:rsidRDefault="00236F56" w:rsidP="00DB5099">
            <w:pPr>
              <w:rPr>
                <w:sz w:val="14"/>
                <w:szCs w:val="14"/>
                <w:lang w:val="en-US"/>
              </w:rPr>
            </w:pPr>
            <w:r w:rsidRPr="00EF7DC9">
              <w:rPr>
                <w:sz w:val="14"/>
                <w:szCs w:val="14"/>
              </w:rPr>
              <w:t>Tariff</w:t>
            </w:r>
          </w:p>
        </w:tc>
        <w:tc>
          <w:tcPr>
            <w:tcW w:w="810" w:type="dxa"/>
            <w:vAlign w:val="center"/>
          </w:tcPr>
          <w:p w:rsidR="00236F56" w:rsidRPr="00EF7DC9" w:rsidRDefault="00236F56" w:rsidP="00EF7DC9">
            <w:pPr>
              <w:jc w:val="center"/>
              <w:rPr>
                <w:sz w:val="14"/>
                <w:szCs w:val="14"/>
                <w:lang w:val="en-US"/>
              </w:rPr>
            </w:pPr>
            <w:r w:rsidRPr="00EF7DC9">
              <w:rPr>
                <w:sz w:val="14"/>
                <w:szCs w:val="14"/>
                <w:lang w:val="sr-Latn-CS"/>
              </w:rPr>
              <w:t>single</w:t>
            </w:r>
          </w:p>
        </w:tc>
        <w:tc>
          <w:tcPr>
            <w:tcW w:w="810" w:type="dxa"/>
            <w:vAlign w:val="center"/>
          </w:tcPr>
          <w:p w:rsidR="00236F56" w:rsidRPr="00EF7DC9" w:rsidRDefault="00236F56" w:rsidP="00EF7DC9">
            <w:pPr>
              <w:jc w:val="center"/>
              <w:rPr>
                <w:sz w:val="14"/>
                <w:szCs w:val="14"/>
                <w:lang w:val="en-US"/>
              </w:rPr>
            </w:pPr>
            <w:r w:rsidRPr="00EF7DC9">
              <w:rPr>
                <w:sz w:val="14"/>
                <w:szCs w:val="14"/>
                <w:lang w:val="sr-Latn-CS"/>
              </w:rPr>
              <w:t>single</w:t>
            </w:r>
          </w:p>
        </w:tc>
        <w:tc>
          <w:tcPr>
            <w:tcW w:w="810" w:type="dxa"/>
            <w:vAlign w:val="center"/>
          </w:tcPr>
          <w:p w:rsidR="00236F56" w:rsidRPr="00EF7DC9" w:rsidRDefault="00236F56" w:rsidP="00EF7DC9">
            <w:pPr>
              <w:jc w:val="center"/>
              <w:rPr>
                <w:sz w:val="14"/>
                <w:szCs w:val="14"/>
                <w:lang w:val="en-US"/>
              </w:rPr>
            </w:pPr>
            <w:r w:rsidRPr="00EF7DC9">
              <w:rPr>
                <w:sz w:val="14"/>
                <w:szCs w:val="14"/>
              </w:rPr>
              <w:t>two part</w:t>
            </w:r>
          </w:p>
        </w:tc>
        <w:tc>
          <w:tcPr>
            <w:tcW w:w="810" w:type="dxa"/>
            <w:vAlign w:val="center"/>
          </w:tcPr>
          <w:p w:rsidR="00236F56" w:rsidRPr="00EF7DC9" w:rsidRDefault="00236F56" w:rsidP="00EF7DC9">
            <w:pPr>
              <w:jc w:val="center"/>
              <w:rPr>
                <w:sz w:val="14"/>
                <w:szCs w:val="14"/>
                <w:lang w:val="en-US"/>
              </w:rPr>
            </w:pPr>
            <w:r w:rsidRPr="00EF7DC9">
              <w:rPr>
                <w:sz w:val="14"/>
                <w:szCs w:val="14"/>
                <w:lang w:val="sr-Latn-CS"/>
              </w:rPr>
              <w:t>single</w:t>
            </w:r>
          </w:p>
        </w:tc>
        <w:tc>
          <w:tcPr>
            <w:tcW w:w="810" w:type="dxa"/>
            <w:vAlign w:val="center"/>
          </w:tcPr>
          <w:p w:rsidR="00236F56" w:rsidRPr="00EF7DC9" w:rsidRDefault="00236F56" w:rsidP="00EF7DC9">
            <w:pPr>
              <w:jc w:val="center"/>
              <w:rPr>
                <w:sz w:val="14"/>
                <w:szCs w:val="14"/>
                <w:lang w:val="en-US"/>
              </w:rPr>
            </w:pPr>
            <w:r w:rsidRPr="00EF7DC9">
              <w:rPr>
                <w:sz w:val="14"/>
                <w:szCs w:val="14"/>
              </w:rPr>
              <w:t>two part</w:t>
            </w:r>
          </w:p>
        </w:tc>
        <w:tc>
          <w:tcPr>
            <w:tcW w:w="810" w:type="dxa"/>
          </w:tcPr>
          <w:p w:rsidR="00236F56" w:rsidRPr="00EF7DC9" w:rsidRDefault="00236F56" w:rsidP="00EF7DC9">
            <w:pPr>
              <w:jc w:val="center"/>
              <w:rPr>
                <w:sz w:val="14"/>
                <w:szCs w:val="14"/>
                <w:lang w:val="sr-Latn-CS"/>
              </w:rPr>
            </w:pPr>
            <w:r w:rsidRPr="00EF7DC9">
              <w:rPr>
                <w:sz w:val="14"/>
                <w:szCs w:val="14"/>
                <w:lang w:val="sr-Latn-CS"/>
              </w:rPr>
              <w:t>single</w:t>
            </w:r>
          </w:p>
        </w:tc>
        <w:tc>
          <w:tcPr>
            <w:tcW w:w="810" w:type="dxa"/>
            <w:vAlign w:val="center"/>
          </w:tcPr>
          <w:p w:rsidR="00236F56" w:rsidRPr="00EF7DC9" w:rsidRDefault="00D11CA3" w:rsidP="00EF7DC9">
            <w:pPr>
              <w:jc w:val="center"/>
              <w:rPr>
                <w:sz w:val="14"/>
                <w:szCs w:val="14"/>
                <w:lang w:val="en-US"/>
              </w:rPr>
            </w:pPr>
            <w:r w:rsidRPr="00EF7DC9">
              <w:rPr>
                <w:sz w:val="14"/>
                <w:szCs w:val="14"/>
                <w:lang w:val="en-US"/>
              </w:rPr>
              <w:t>?</w:t>
            </w:r>
          </w:p>
        </w:tc>
      </w:tr>
      <w:tr w:rsidR="00236F56" w:rsidRPr="00236F56" w:rsidTr="006E4993">
        <w:tc>
          <w:tcPr>
            <w:tcW w:w="1101" w:type="dxa"/>
            <w:vAlign w:val="center"/>
          </w:tcPr>
          <w:p w:rsidR="00236F56" w:rsidRPr="00EF7DC9" w:rsidRDefault="00236F56" w:rsidP="00DB5099">
            <w:pPr>
              <w:rPr>
                <w:sz w:val="14"/>
                <w:szCs w:val="14"/>
              </w:rPr>
            </w:pPr>
            <w:r w:rsidRPr="00EF7DC9">
              <w:rPr>
                <w:sz w:val="14"/>
                <w:szCs w:val="14"/>
              </w:rPr>
              <w:t xml:space="preserve">LIB index 2007 </w:t>
            </w:r>
            <w:r w:rsidRPr="00EF7DC9">
              <w:rPr>
                <w:sz w:val="14"/>
                <w:szCs w:val="14"/>
                <w:lang w:val="sr-Latn-CS"/>
              </w:rPr>
              <w:t>(freight/pass.)</w:t>
            </w:r>
          </w:p>
        </w:tc>
        <w:tc>
          <w:tcPr>
            <w:tcW w:w="810" w:type="dxa"/>
            <w:vAlign w:val="center"/>
          </w:tcPr>
          <w:p w:rsidR="00236F56" w:rsidRPr="00EF7DC9" w:rsidRDefault="00236F56" w:rsidP="00EF7DC9">
            <w:pPr>
              <w:jc w:val="center"/>
              <w:rPr>
                <w:sz w:val="14"/>
                <w:szCs w:val="14"/>
                <w:lang w:val="en-US"/>
              </w:rPr>
            </w:pPr>
            <w:r w:rsidRPr="00EF7DC9">
              <w:rPr>
                <w:sz w:val="14"/>
                <w:szCs w:val="14"/>
              </w:rPr>
              <w:t>852/727</w:t>
            </w:r>
          </w:p>
        </w:tc>
        <w:tc>
          <w:tcPr>
            <w:tcW w:w="810" w:type="dxa"/>
            <w:vAlign w:val="center"/>
          </w:tcPr>
          <w:p w:rsidR="00236F56" w:rsidRPr="00EF7DC9" w:rsidRDefault="00236F56" w:rsidP="00EF7DC9">
            <w:pPr>
              <w:jc w:val="center"/>
              <w:rPr>
                <w:sz w:val="14"/>
                <w:szCs w:val="14"/>
                <w:lang w:val="en-US"/>
              </w:rPr>
            </w:pPr>
            <w:r w:rsidRPr="00EF7DC9">
              <w:rPr>
                <w:sz w:val="14"/>
                <w:szCs w:val="14"/>
              </w:rPr>
              <w:t>780/518</w:t>
            </w:r>
          </w:p>
        </w:tc>
        <w:tc>
          <w:tcPr>
            <w:tcW w:w="810" w:type="dxa"/>
            <w:vAlign w:val="center"/>
          </w:tcPr>
          <w:p w:rsidR="00236F56" w:rsidRPr="00EF7DC9" w:rsidRDefault="00236F56" w:rsidP="00EF7DC9">
            <w:pPr>
              <w:jc w:val="center"/>
              <w:rPr>
                <w:sz w:val="14"/>
                <w:szCs w:val="14"/>
                <w:lang w:val="en-US"/>
              </w:rPr>
            </w:pPr>
            <w:r w:rsidRPr="00EF7DC9">
              <w:rPr>
                <w:sz w:val="14"/>
                <w:szCs w:val="14"/>
              </w:rPr>
              <w:t>727/431</w:t>
            </w:r>
          </w:p>
        </w:tc>
        <w:tc>
          <w:tcPr>
            <w:tcW w:w="810" w:type="dxa"/>
            <w:vAlign w:val="center"/>
          </w:tcPr>
          <w:p w:rsidR="00236F56" w:rsidRPr="00EF7DC9" w:rsidRDefault="00236F56" w:rsidP="00EF7DC9">
            <w:pPr>
              <w:jc w:val="center"/>
              <w:rPr>
                <w:sz w:val="14"/>
                <w:szCs w:val="14"/>
                <w:lang w:val="en-US"/>
              </w:rPr>
            </w:pPr>
            <w:r w:rsidRPr="00EF7DC9">
              <w:rPr>
                <w:sz w:val="14"/>
                <w:szCs w:val="14"/>
              </w:rPr>
              <w:t>844/809</w:t>
            </w:r>
          </w:p>
        </w:tc>
        <w:tc>
          <w:tcPr>
            <w:tcW w:w="810" w:type="dxa"/>
            <w:vAlign w:val="center"/>
          </w:tcPr>
          <w:p w:rsidR="00236F56" w:rsidRPr="00EF7DC9" w:rsidRDefault="00236F56" w:rsidP="00EF7DC9">
            <w:pPr>
              <w:jc w:val="center"/>
              <w:rPr>
                <w:sz w:val="14"/>
                <w:szCs w:val="14"/>
                <w:lang w:val="en-US"/>
              </w:rPr>
            </w:pPr>
            <w:r w:rsidRPr="00EF7DC9">
              <w:rPr>
                <w:sz w:val="14"/>
                <w:szCs w:val="14"/>
              </w:rPr>
              <w:t>740/533</w:t>
            </w:r>
          </w:p>
        </w:tc>
        <w:tc>
          <w:tcPr>
            <w:tcW w:w="810" w:type="dxa"/>
            <w:vAlign w:val="center"/>
          </w:tcPr>
          <w:p w:rsidR="00236F56" w:rsidRPr="00EF7DC9" w:rsidRDefault="00236F56" w:rsidP="00EF7DC9">
            <w:pPr>
              <w:jc w:val="center"/>
              <w:rPr>
                <w:sz w:val="14"/>
                <w:szCs w:val="14"/>
              </w:rPr>
            </w:pPr>
            <w:r w:rsidRPr="00EF7DC9">
              <w:rPr>
                <w:sz w:val="14"/>
                <w:szCs w:val="14"/>
              </w:rPr>
              <w:t>733/576</w:t>
            </w:r>
          </w:p>
        </w:tc>
        <w:tc>
          <w:tcPr>
            <w:tcW w:w="810" w:type="dxa"/>
            <w:vAlign w:val="center"/>
          </w:tcPr>
          <w:p w:rsidR="00236F56" w:rsidRPr="00EF7DC9" w:rsidRDefault="00236F56" w:rsidP="00EF7DC9">
            <w:pPr>
              <w:jc w:val="center"/>
              <w:rPr>
                <w:sz w:val="14"/>
                <w:szCs w:val="14"/>
                <w:lang w:val="en-US"/>
              </w:rPr>
            </w:pPr>
            <w:r w:rsidRPr="00EF7DC9">
              <w:rPr>
                <w:sz w:val="14"/>
                <w:szCs w:val="14"/>
              </w:rPr>
              <w:t>-/-</w:t>
            </w:r>
          </w:p>
        </w:tc>
      </w:tr>
    </w:tbl>
    <w:p w:rsidR="00DB5099" w:rsidRDefault="00DB5099" w:rsidP="00D11CA3">
      <w:pPr>
        <w:pStyle w:val="Sectionfirst"/>
        <w:rPr>
          <w:lang w:val="en-US"/>
        </w:rPr>
      </w:pPr>
    </w:p>
    <w:p w:rsidR="00B93C2C" w:rsidRDefault="00B93C2C" w:rsidP="006E4993">
      <w:pPr>
        <w:pStyle w:val="Sectionfirst"/>
        <w:spacing w:after="0"/>
        <w:ind w:firstLine="432"/>
      </w:pPr>
      <w:r>
        <w:t>Beside these performances of AC it is very important to have a knowledge about structure of AC, especially for how much should AC be different for Passenger and Freight Trains, regarding different market position and concurrency of Passenger and Freight Traffic</w:t>
      </w:r>
    </w:p>
    <w:p w:rsidR="006E4993" w:rsidRDefault="006E4993" w:rsidP="006E4993">
      <w:pPr>
        <w:pStyle w:val="Sectionfirst"/>
        <w:spacing w:after="0"/>
        <w:ind w:firstLine="432"/>
        <w:rPr>
          <w:lang w:val="en-US"/>
        </w:rPr>
      </w:pPr>
    </w:p>
    <w:p w:rsidR="00DF6BCA" w:rsidRDefault="00DF6BCA" w:rsidP="00495953">
      <w:pPr>
        <w:pStyle w:val="Title3"/>
        <w:spacing w:before="0"/>
        <w:rPr>
          <w:lang w:val="en-US"/>
        </w:rPr>
      </w:pPr>
      <w:r>
        <w:rPr>
          <w:lang w:val="en-US"/>
        </w:rPr>
        <w:t>Charging System</w:t>
      </w:r>
    </w:p>
    <w:p w:rsidR="003D7B0A" w:rsidRDefault="00B93C2C" w:rsidP="00495953">
      <w:pPr>
        <w:pStyle w:val="Titke2"/>
        <w:numPr>
          <w:ilvl w:val="0"/>
          <w:numId w:val="0"/>
        </w:numPr>
        <w:spacing w:before="0" w:after="40"/>
        <w:rPr>
          <w:b w:val="0"/>
          <w:sz w:val="20"/>
          <w:lang w:val="sr-Latn-CS"/>
        </w:rPr>
      </w:pPr>
      <w:r w:rsidRPr="00B93C2C">
        <w:rPr>
          <w:b w:val="0"/>
          <w:sz w:val="20"/>
        </w:rPr>
        <w:t>EC Directive 2001/14 in Annex II - all services that Infrastructure Manger can give are assorts in four different categories: Minimum Access Package, Track Access to Services facilities and supply of services, Additional Services and Ancillary Services. According to capacity that is on disposal and users potential, Infrastructure Manager is combining different service groups and forms different Access Charging System. On this way Railways of Germany has developed sophisticated "Train Path Pricing System". On the other side Latvia has just Minimum Access Package which contains all services that Latvia UI is giving</w:t>
      </w:r>
      <w:r>
        <w:rPr>
          <w:b w:val="0"/>
          <w:sz w:val="20"/>
        </w:rPr>
        <w:t>.</w:t>
      </w:r>
      <w:r w:rsidR="00BF47C8" w:rsidRPr="00B93C2C">
        <w:rPr>
          <w:b w:val="0"/>
          <w:sz w:val="20"/>
          <w:lang w:val="sr-Latn-CS"/>
        </w:rPr>
        <w:t xml:space="preserve"> </w:t>
      </w:r>
    </w:p>
    <w:p w:rsidR="004662A4" w:rsidRPr="006E4993" w:rsidRDefault="00B93C2C" w:rsidP="006E4993">
      <w:pPr>
        <w:pStyle w:val="Titke2"/>
        <w:numPr>
          <w:ilvl w:val="0"/>
          <w:numId w:val="0"/>
        </w:numPr>
        <w:spacing w:before="40" w:after="40"/>
        <w:ind w:firstLine="426"/>
        <w:rPr>
          <w:b w:val="0"/>
          <w:noProof/>
          <w:sz w:val="20"/>
          <w:lang w:val="sr-Latn-CS"/>
        </w:rPr>
      </w:pPr>
      <w:r w:rsidRPr="00B93C2C">
        <w:rPr>
          <w:b w:val="0"/>
          <w:sz w:val="20"/>
        </w:rPr>
        <w:t>However, at all countries the Minimum Access Package is included. It exists on all Networks, for all Train Categories and thereby is subject of this paper</w:t>
      </w:r>
      <w:r w:rsidR="003D7B0A">
        <w:rPr>
          <w:b w:val="0"/>
          <w:noProof/>
          <w:sz w:val="20"/>
          <w:lang w:val="sr-Latn-CS"/>
        </w:rPr>
        <w:t xml:space="preserve">. </w:t>
      </w:r>
      <w:r w:rsidR="00AE3DD0">
        <w:rPr>
          <w:b w:val="0"/>
          <w:noProof/>
          <w:sz w:val="20"/>
          <w:lang w:val="sr-Latn-CS"/>
        </w:rPr>
        <w:tab/>
      </w:r>
    </w:p>
    <w:p w:rsidR="00095444" w:rsidRPr="0002475C" w:rsidRDefault="00DF6BCA" w:rsidP="00095444">
      <w:pPr>
        <w:pStyle w:val="Title3"/>
        <w:rPr>
          <w:lang w:val="en-US"/>
        </w:rPr>
      </w:pPr>
      <w:r>
        <w:rPr>
          <w:lang w:val="en-US"/>
        </w:rPr>
        <w:t>Access charges structure</w:t>
      </w:r>
    </w:p>
    <w:p w:rsidR="006E4993" w:rsidRDefault="00B93C2C" w:rsidP="00A6371F">
      <w:pPr>
        <w:pStyle w:val="Section"/>
        <w:ind w:firstLine="0"/>
        <w:rPr>
          <w:lang w:val="en-US"/>
        </w:rPr>
      </w:pPr>
      <w:r>
        <w:t>At this moment in EU countries, great number of applied methodologies and principles, systems and structures of AC is present [3]. In this chapter AC Structure for Minimum Access Package for using of Infrastructure will be considered into details for each representative country separate</w:t>
      </w:r>
      <w:r w:rsidR="00544FBA">
        <w:rPr>
          <w:lang w:val="en-US"/>
        </w:rPr>
        <w:t>.</w:t>
      </w:r>
    </w:p>
    <w:p w:rsidR="00544FBA" w:rsidRDefault="00B93C2C" w:rsidP="00544FBA">
      <w:pPr>
        <w:pStyle w:val="Section"/>
        <w:ind w:firstLine="426"/>
        <w:rPr>
          <w:lang w:val="en-US"/>
        </w:rPr>
      </w:pPr>
      <w:r>
        <w:lastRenderedPageBreak/>
        <w:t>Austrian UI is counting AC on single tariff system and AC is based on Marginal Costs with mark-up (MC+). Structure of Minimum Access Package is based on tree parts: AC on train passing according to Line Category, Types of Traffic and mark up which depends on type of rolling-stock, delays in time-table and bottleneck length. For two parts in formula, AC is based on train km</w:t>
      </w:r>
      <w:r w:rsidR="00544FBA">
        <w:rPr>
          <w:lang w:val="en-US"/>
        </w:rPr>
        <w:t xml:space="preserve">.  </w:t>
      </w:r>
    </w:p>
    <w:p w:rsidR="00B93C2C" w:rsidRDefault="00B93C2C" w:rsidP="00B93C2C">
      <w:pPr>
        <w:ind w:firstLine="426"/>
        <w:jc w:val="both"/>
      </w:pPr>
      <w:r>
        <w:t>It can be conclude that Austrian UI defined Structure of AC related to usage of most loaded parts (main Corridors) of network, so on this way it reduced concurrence. Accumulated operative costs and maintenance costs is solving through factor for passing through bottleneck, which is 1€ per train km in 2008. On the other side it is well known that Railways in Austria are built in heavy mountain conditions, so maintenance of high quality infrastructure increase drastically maintenance costs, so it is reasonable to introduce AC up to realized grosstonekm, as well as coefficient that depend on used rolling-stock.</w:t>
      </w:r>
    </w:p>
    <w:p w:rsidR="007F093D" w:rsidRDefault="00544FBA" w:rsidP="00B93C2C">
      <w:pPr>
        <w:pStyle w:val="Section"/>
        <w:ind w:firstLine="426"/>
        <w:rPr>
          <w:lang w:val="sr-Latn-CS"/>
        </w:rPr>
      </w:pPr>
      <w:r>
        <w:rPr>
          <w:lang w:val="en-US"/>
        </w:rPr>
        <w:t>.</w:t>
      </w:r>
      <w:r w:rsidR="00B93C2C">
        <w:t>Belgium UI is covering 20% of total infrastructure costs by income from AC. The principle, on which the AC is formed, is based on total reimbursement of infrastructure costs reduced for subsidy or FC-. Tariff is single and simple, and variable costs are counted per train km. In the structure of AC, by application of several different coefficients, which depends on time period of Railway Usage; type and characteristic of traffic, the problem of congestion and quality of services is solved. By additional factor, the network characteristic is comprehended too</w:t>
      </w:r>
      <w:r w:rsidR="00CF7865">
        <w:rPr>
          <w:noProof/>
          <w:lang w:val="sr-Latn-CS"/>
        </w:rPr>
        <w:t xml:space="preserve">. </w:t>
      </w:r>
      <w:r w:rsidR="00280BC8">
        <w:rPr>
          <w:lang w:val="sr-Latn-CS"/>
        </w:rPr>
        <w:t xml:space="preserve"> </w:t>
      </w:r>
    </w:p>
    <w:p w:rsidR="00EF1759" w:rsidRDefault="00B93C2C" w:rsidP="002C59AE">
      <w:pPr>
        <w:ind w:firstLine="426"/>
        <w:jc w:val="both"/>
        <w:rPr>
          <w:lang w:val="sr-Latn-CS"/>
        </w:rPr>
      </w:pPr>
      <w:r>
        <w:t>With this structure of AC, that is highest for the pick hour traffic flow, and with mostly costs covered by using the Infrastructure Subsidy, the state wants to stimulate Freight and specially Transit Traffic</w:t>
      </w:r>
      <w:r w:rsidR="00F47077">
        <w:rPr>
          <w:lang w:val="sr-Latn-CS"/>
        </w:rPr>
        <w:t xml:space="preserve">. </w:t>
      </w:r>
    </w:p>
    <w:p w:rsidR="00544FBA" w:rsidRDefault="00B93C2C" w:rsidP="00544FBA">
      <w:pPr>
        <w:ind w:firstLine="426"/>
        <w:jc w:val="both"/>
        <w:rPr>
          <w:lang w:val="sr-Latn-CS"/>
        </w:rPr>
      </w:pPr>
      <w:r>
        <w:t xml:space="preserve">Railway in </w:t>
      </w:r>
      <w:smartTag w:uri="urn:schemas-microsoft-com:office:smarttags" w:element="place">
        <w:smartTag w:uri="urn:schemas-microsoft-com:office:smarttags" w:element="country-region">
          <w:r>
            <w:t>France</w:t>
          </w:r>
        </w:smartTag>
      </w:smartTag>
      <w:r>
        <w:t xml:space="preserve"> is characteristic by significant Passengers Traffic and structure of AC is defined towards this kind of traffic. Very low LIB coefficient for Passenger and Freight Traffic as well as number of operators on market (table 1), signify the closeness of market. In the structure of AC this is solved by defining of two part tariff system. First part is related on Infrastructure Usage and for Infrastructure Access. It is related to railway category and type of traffic, and is not depend on time period of used Railway line. Other part is cost for reservation end it is very high - 70% from total AC level, and it depends on time period of usage of Railway line and is paid in advance, that is un-stimulating for many little operators</w:t>
      </w:r>
      <w:r w:rsidR="00544FBA">
        <w:rPr>
          <w:lang w:val="sr-Latn-CS"/>
        </w:rPr>
        <w:t xml:space="preserve">.  </w:t>
      </w:r>
    </w:p>
    <w:p w:rsidR="002C59AE" w:rsidRDefault="00B93C2C" w:rsidP="00DF49EC">
      <w:pPr>
        <w:pStyle w:val="Section"/>
        <w:ind w:firstLine="426"/>
        <w:rPr>
          <w:lang w:val="sr-Latn-CS"/>
        </w:rPr>
      </w:pPr>
      <w:smartTag w:uri="urn:schemas-microsoft-com:office:smarttags" w:element="country-region">
        <w:r>
          <w:t>Germany</w:t>
        </w:r>
      </w:smartTag>
      <w:r>
        <w:t xml:space="preserve"> on the other side can be opponent to </w:t>
      </w:r>
      <w:smartTag w:uri="urn:schemas-microsoft-com:office:smarttags" w:element="place">
        <w:smartTag w:uri="urn:schemas-microsoft-com:office:smarttags" w:element="country-region">
          <w:r>
            <w:t>France</w:t>
          </w:r>
        </w:smartTag>
      </w:smartTag>
      <w:r>
        <w:t xml:space="preserve"> by size of network, income and volume of realized Traffic. However, what separates them is view on Market, for which </w:t>
      </w:r>
      <w:smartTag w:uri="urn:schemas-microsoft-com:office:smarttags" w:element="place">
        <w:smartTag w:uri="urn:schemas-microsoft-com:office:smarttags" w:element="country-region">
          <w:r>
            <w:t>Germany</w:t>
          </w:r>
        </w:smartTag>
      </w:smartTag>
      <w:r>
        <w:t xml:space="preserve"> is actively involved, and applied AC Structure. Germany has single tariff, but AC are formed according to principle of average costs i.e. MC+. By structure is close to Belgium, but they are going further </w:t>
      </w:r>
      <w:r>
        <w:lastRenderedPageBreak/>
        <w:t>regarding the quality of services, by introducing the coefficient that depends on quality of services, given separately for Passenger and Freight Trains</w:t>
      </w:r>
      <w:r w:rsidR="00DF49EC">
        <w:rPr>
          <w:lang w:val="sr-Latn-CS"/>
        </w:rPr>
        <w:t xml:space="preserve">. </w:t>
      </w:r>
    </w:p>
    <w:p w:rsidR="00E70740" w:rsidRDefault="00B93C2C" w:rsidP="00E70740">
      <w:pPr>
        <w:pStyle w:val="Section"/>
        <w:tabs>
          <w:tab w:val="left" w:pos="426"/>
        </w:tabs>
        <w:rPr>
          <w:lang w:val="sr-Latn-CS"/>
        </w:rPr>
      </w:pPr>
      <w:r>
        <w:t>Formula contents numerous different coefficients, by which the operators that are giving more qualitative service are charged. Germans UI can afford it because it has12 different category of Railway lines, numerous categories of Services, modern systems of costs coverage and bigger capacity, which enables users to choose what suites them most, but from the other side the possibility of this choice by itself costs. In the same time, volume of Passenger and Freight Transport allows that this structure of AC stays in this country</w:t>
      </w:r>
      <w:r w:rsidR="00E70740">
        <w:rPr>
          <w:lang w:val="sr-Latn-CS"/>
        </w:rPr>
        <w:t>.</w:t>
      </w:r>
    </w:p>
    <w:p w:rsidR="00B93C2C" w:rsidRDefault="00B93C2C" w:rsidP="00BC6A91">
      <w:pPr>
        <w:pStyle w:val="Section"/>
        <w:tabs>
          <w:tab w:val="left" w:pos="426"/>
        </w:tabs>
      </w:pPr>
      <w:r>
        <w:t>Parameter of Hungary Railway Network and Market (table 1) shows that she has the lowest capacity from all represented countries, and that network complexity is drastically low (in relevant relationships and objective). Structure of AC contains the part that is related on reservation of capacity and depends on type of traffic, and part related on using of capacity, that depends on category of Railway and Trains</w:t>
      </w:r>
    </w:p>
    <w:p w:rsidR="00E70740" w:rsidRDefault="00B93C2C" w:rsidP="00BC6A91">
      <w:pPr>
        <w:pStyle w:val="Section"/>
        <w:tabs>
          <w:tab w:val="left" w:pos="426"/>
        </w:tabs>
        <w:rPr>
          <w:lang w:val="sr-Latn-CS"/>
        </w:rPr>
      </w:pPr>
      <w:r>
        <w:t>Latvia is typical example how States with little network are solving the problem of AC structure when they have aim to cover all the infrastructure costs by AC. The AC are counted by principle of average costs, Structure of AC is very simple and contains: unit price per train km depending on type of Traffic and Lines and realized number of train km</w:t>
      </w:r>
      <w:r w:rsidR="00E70740">
        <w:rPr>
          <w:lang w:val="sr-Latn-CS"/>
        </w:rPr>
        <w:t>.</w:t>
      </w:r>
    </w:p>
    <w:p w:rsidR="00095444" w:rsidRPr="0002475C" w:rsidRDefault="00BC6A91" w:rsidP="00095444">
      <w:pPr>
        <w:pStyle w:val="Titke2"/>
      </w:pPr>
      <w:r>
        <w:t>F</w:t>
      </w:r>
      <w:r w:rsidR="00A6371F">
        <w:t>actors that influences on access charges structure</w:t>
      </w:r>
    </w:p>
    <w:p w:rsidR="00B93C2C" w:rsidRPr="00B93C2C" w:rsidRDefault="00B93C2C" w:rsidP="00B93C2C">
      <w:pPr>
        <w:pStyle w:val="Titke2"/>
        <w:numPr>
          <w:ilvl w:val="0"/>
          <w:numId w:val="0"/>
        </w:numPr>
        <w:rPr>
          <w:b w:val="0"/>
          <w:sz w:val="20"/>
        </w:rPr>
      </w:pPr>
      <w:r w:rsidRPr="00B93C2C">
        <w:rPr>
          <w:b w:val="0"/>
          <w:sz w:val="20"/>
        </w:rPr>
        <w:t>On the Structure of AC the surrounding is influencing and conditions in which the Infrastructure Manager is. Factors that are influencing can be measured (exploitation and finance appearance) or non-measurable (national policy, interest and influence). In this work, we are starting from assumption that measurable factors are the one that decide while forming the Structure of AC. Besides, insight factors do not influence particularly, but simultaneously on the Structure of AC. The key factors are:</w:t>
      </w:r>
    </w:p>
    <w:p w:rsidR="00B93C2C" w:rsidRDefault="00B93C2C" w:rsidP="00B93C2C">
      <w:pPr>
        <w:ind w:firstLine="708"/>
        <w:jc w:val="both"/>
      </w:pPr>
      <w:r>
        <w:t xml:space="preserve">● </w:t>
      </w:r>
      <w:r w:rsidRPr="009B64EA">
        <w:rPr>
          <w:b/>
        </w:rPr>
        <w:t>Dominant type of traffic</w:t>
      </w:r>
      <w:r>
        <w:t xml:space="preserve"> (Passenger or Freight Traffic) affects differently on usage of capacity, which reflects on infrastructure costs, so this is how the Structure of AC is formed. This can be seen especially on chosen price unit (by train km or gross-ton km or together) or in number of different line categories for type of traffic they were meant to. - France has dominant Passenger Traffic and that is the reason why the AC are counted by train km, and from 12 categories line 8 is prior for Passenger Trains;</w:t>
      </w:r>
    </w:p>
    <w:p w:rsidR="00B93C2C" w:rsidRDefault="00B93C2C" w:rsidP="00B93C2C">
      <w:pPr>
        <w:jc w:val="both"/>
      </w:pPr>
      <w:r>
        <w:tab/>
        <w:t xml:space="preserve">● </w:t>
      </w:r>
      <w:r w:rsidRPr="009B64EA">
        <w:rPr>
          <w:b/>
        </w:rPr>
        <w:t>Intensity of network using</w:t>
      </w:r>
      <w:r>
        <w:t xml:space="preserve"> includes introducing various coefficients which are in the function of Line and Train Category, which can be seen on the </w:t>
      </w:r>
      <w:r>
        <w:lastRenderedPageBreak/>
        <w:t>example of Belgium. Coefficients are introduced regarding the level of operational significant of Line and Traffic intensity, and for trains according to its speed;</w:t>
      </w:r>
    </w:p>
    <w:p w:rsidR="00B93C2C" w:rsidRDefault="00B93C2C" w:rsidP="00B93C2C">
      <w:pPr>
        <w:jc w:val="both"/>
      </w:pPr>
      <w:r>
        <w:tab/>
        <w:t xml:space="preserve">● </w:t>
      </w:r>
      <w:r w:rsidRPr="009B64EA">
        <w:rPr>
          <w:b/>
        </w:rPr>
        <w:t>Network complexity</w:t>
      </w:r>
      <w:r>
        <w:t xml:space="preserve"> is factor that shows on the capacity volume that UI has on disposal, and on height of costs of infrastructure usage, so Railway Network with low complexity level as for example Hungarian, can be proud on better simplicity of Tariff formula without a lot of coefficient, but the only difference is in the unit price per train km for traffic type;</w:t>
      </w:r>
    </w:p>
    <w:p w:rsidR="00B93C2C" w:rsidRDefault="00B93C2C" w:rsidP="00B93C2C">
      <w:pPr>
        <w:pStyle w:val="CommentText"/>
        <w:keepNext/>
        <w:jc w:val="both"/>
      </w:pPr>
      <w:r>
        <w:tab/>
        <w:t xml:space="preserve">● </w:t>
      </w:r>
      <w:r w:rsidRPr="009B64EA">
        <w:rPr>
          <w:b/>
        </w:rPr>
        <w:t>Maintenance of Railway Network</w:t>
      </w:r>
      <w:r>
        <w:t xml:space="preserve"> is connected with number and quality of different services – Latvia UI has only one standard category of services that is giving - Freight Traffic, so that is the raison why the Structure of AC is simple according to average costs. </w:t>
      </w:r>
    </w:p>
    <w:p w:rsidR="00B93C2C" w:rsidRDefault="00B93C2C" w:rsidP="00B93C2C">
      <w:pPr>
        <w:pStyle w:val="CommentText"/>
        <w:keepNext/>
        <w:jc w:val="both"/>
      </w:pPr>
    </w:p>
    <w:p w:rsidR="003A6D1E" w:rsidRDefault="00B93C2C" w:rsidP="00B93C2C">
      <w:pPr>
        <w:pStyle w:val="CommentText"/>
        <w:keepNext/>
        <w:jc w:val="center"/>
      </w:pPr>
      <w:r w:rsidRPr="003A6D1E" w:rsidDel="00B93C2C">
        <w:rPr>
          <w:b/>
        </w:rPr>
        <w:t xml:space="preserve"> </w:t>
      </w:r>
      <w:r w:rsidR="000065FE">
        <w:rPr>
          <w:noProof/>
          <w:color w:val="FF0000"/>
          <w:lang w:val="en-US" w:eastAsia="en-US"/>
        </w:rPr>
        <w:drawing>
          <wp:inline distT="0" distB="0" distL="0" distR="0">
            <wp:extent cx="2952750" cy="16097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6D1E" w:rsidRDefault="008B57D7" w:rsidP="003A6D1E">
      <w:pPr>
        <w:pStyle w:val="Caption"/>
        <w:jc w:val="center"/>
        <w:rPr>
          <w:color w:val="FF0000"/>
        </w:rPr>
      </w:pPr>
      <w:r>
        <w:t xml:space="preserve">Fig </w:t>
      </w:r>
      <w:r w:rsidR="003C1A17">
        <w:fldChar w:fldCharType="begin"/>
      </w:r>
      <w:r>
        <w:instrText xml:space="preserve"> SEQ Fig \* ARABIC </w:instrText>
      </w:r>
      <w:r w:rsidR="003C1A17">
        <w:fldChar w:fldCharType="separate"/>
      </w:r>
      <w:r>
        <w:rPr>
          <w:noProof/>
        </w:rPr>
        <w:t>1</w:t>
      </w:r>
      <w:r w:rsidR="003C1A17">
        <w:fldChar w:fldCharType="end"/>
      </w:r>
      <w:r>
        <w:t xml:space="preserve">. </w:t>
      </w:r>
      <w:r w:rsidR="00475416">
        <w:t>Network complexity averse intesitv of use TU</w:t>
      </w:r>
    </w:p>
    <w:p w:rsidR="00095444" w:rsidRPr="00155058" w:rsidRDefault="00155058" w:rsidP="00155058">
      <w:pPr>
        <w:pStyle w:val="Titke2"/>
        <w:rPr>
          <w:lang w:val="en-GB"/>
        </w:rPr>
      </w:pPr>
      <w:bookmarkStart w:id="0" w:name="OLE_LINK6"/>
      <w:bookmarkStart w:id="1" w:name="OLE_LINK7"/>
      <w:r>
        <w:rPr>
          <w:lang w:val="en-GB"/>
        </w:rPr>
        <w:t xml:space="preserve">Instead of conclusion </w:t>
      </w:r>
      <w:r w:rsidR="00AF6920">
        <w:rPr>
          <w:lang w:val="en-GB"/>
        </w:rPr>
        <w:t>–</w:t>
      </w:r>
      <w:r>
        <w:rPr>
          <w:lang w:val="en-GB"/>
        </w:rPr>
        <w:t xml:space="preserve"> </w:t>
      </w:r>
      <w:r w:rsidR="00B93C2C">
        <w:rPr>
          <w:lang w:val="en-GB"/>
        </w:rPr>
        <w:t>Lesson</w:t>
      </w:r>
      <w:r w:rsidR="00B93C2C">
        <w:rPr>
          <w:lang w:val="en-GB"/>
        </w:rPr>
        <w:t xml:space="preserve"> </w:t>
      </w:r>
      <w:r w:rsidR="00A6371F" w:rsidRPr="00155058">
        <w:rPr>
          <w:lang w:val="en-GB"/>
        </w:rPr>
        <w:t>S</w:t>
      </w:r>
      <w:r w:rsidR="00AF6920">
        <w:rPr>
          <w:lang w:val="en-GB"/>
        </w:rPr>
        <w:t>e</w:t>
      </w:r>
      <w:r w:rsidR="00A6371F" w:rsidRPr="00155058">
        <w:rPr>
          <w:lang w:val="en-GB"/>
        </w:rPr>
        <w:t>rbia</w:t>
      </w:r>
    </w:p>
    <w:bookmarkEnd w:id="0"/>
    <w:bookmarkEnd w:id="1"/>
    <w:p w:rsidR="0059608B" w:rsidRDefault="00B93C2C" w:rsidP="00565D79">
      <w:pPr>
        <w:pStyle w:val="Sectionfirst"/>
        <w:rPr>
          <w:lang w:val="sr-Latn-CS"/>
        </w:rPr>
      </w:pPr>
      <w:r>
        <w:t xml:space="preserve">Serbia is positioned on the very beginning of Railway Reform. Today in </w:t>
      </w:r>
      <w:smartTag w:uri="urn:schemas-microsoft-com:office:smarttags" w:element="place">
        <w:smartTag w:uri="urn:schemas-microsoft-com:office:smarttags" w:element="country-region">
          <w:r>
            <w:t>Serbia</w:t>
          </w:r>
        </w:smartTag>
      </w:smartTag>
      <w:r>
        <w:t xml:space="preserve"> only one enterprise is functioning in Railway Traffic, dealing with Management of Infrastructure and performing of transport - PRTE Serbian Railways and enterprise that is dealing with industrial transport for the needs of Thermo Electrical Power Station Nicola Tesla which gathered transport license. According to size, network of 3.809km belongs to medium size networks, and 14.110 passengers and 14.141 tone in 156.487 Passenger and 23.287 Freight Trains are transported annually [5]. As it might be seen number of Passenger Trains is bigger, but the income from them is very small. Regarding the Freight Traffic, transit and import-export traffic is dominant. Capacity utilization is small, but the long non-maintenance of lines is present, so the train delays are not the result of traffic organization or traffic volume</w:t>
      </w:r>
      <w:r w:rsidR="00605275">
        <w:rPr>
          <w:lang w:val="sr-Latn-CS"/>
        </w:rPr>
        <w:t xml:space="preserve"> </w:t>
      </w:r>
    </w:p>
    <w:p w:rsidR="00B93C2C" w:rsidRDefault="00B93C2C" w:rsidP="00B93C2C">
      <w:r>
        <w:lastRenderedPageBreak/>
        <w:t>Taking into consideration characteristics of Serbian Railways and factors that are influencing on the structure of AC for Passenger and Freight Traffic, it can be recommended:</w:t>
      </w:r>
    </w:p>
    <w:p w:rsidR="00B93C2C" w:rsidRDefault="00B93C2C" w:rsidP="00B93C2C">
      <w:pPr>
        <w:pStyle w:val="ListParagraph"/>
        <w:numPr>
          <w:ilvl w:val="0"/>
          <w:numId w:val="41"/>
        </w:numPr>
        <w:jc w:val="both"/>
      </w:pPr>
      <w:r>
        <w:t xml:space="preserve">that variable part of AC can be counted towards train km and towards gross-ton km, in one hand it could be overshoot maintenance and usage costs to users of infrastructure and in other hand optimal use of infrastructure capacity; </w:t>
      </w:r>
    </w:p>
    <w:p w:rsidR="00B93C2C" w:rsidRDefault="00B93C2C" w:rsidP="00B93C2C">
      <w:pPr>
        <w:pStyle w:val="ListParagraph"/>
        <w:numPr>
          <w:ilvl w:val="0"/>
          <w:numId w:val="41"/>
        </w:numPr>
        <w:jc w:val="both"/>
      </w:pPr>
      <w:r>
        <w:t>if  there is a wish to attract traffic and equally achieve the income from both traffic type, it is necessary to register more service categories and more categories of lines expressed through various coefficient in Structure of AC (example Belgium and Germany);</w:t>
      </w:r>
    </w:p>
    <w:p w:rsidR="00B93C2C" w:rsidRDefault="00B93C2C" w:rsidP="00B93C2C">
      <w:pPr>
        <w:pStyle w:val="ListParagraph"/>
        <w:numPr>
          <w:ilvl w:val="0"/>
          <w:numId w:val="41"/>
        </w:numPr>
        <w:jc w:val="both"/>
      </w:pPr>
      <w:r>
        <w:t>applying simple formula with coefficients that depend on type of traffic (train categories), because of simplicity of AC calculation;</w:t>
      </w:r>
    </w:p>
    <w:p w:rsidR="00B93C2C" w:rsidRDefault="00B93C2C" w:rsidP="00B93C2C">
      <w:pPr>
        <w:pStyle w:val="ListParagraph"/>
        <w:numPr>
          <w:ilvl w:val="0"/>
          <w:numId w:val="41"/>
        </w:numPr>
        <w:jc w:val="both"/>
      </w:pPr>
      <w:r>
        <w:t>because of great costs of Infrastructure Maintenance, the coefficient related to type of rollingstock, for one type of mark-up should be introduced (example Austria).</w:t>
      </w:r>
    </w:p>
    <w:p w:rsidR="00095444" w:rsidRPr="0002475C" w:rsidRDefault="00095444" w:rsidP="00095444">
      <w:pPr>
        <w:pStyle w:val="References"/>
      </w:pPr>
      <w:r>
        <w:t>Reference literature</w:t>
      </w:r>
    </w:p>
    <w:p w:rsidR="001754EB" w:rsidRPr="005428AA" w:rsidRDefault="001754EB" w:rsidP="001754EB">
      <w:pPr>
        <w:pStyle w:val="CharCharCharCharCharCharCharCharChar"/>
        <w:tabs>
          <w:tab w:val="clear" w:pos="709"/>
          <w:tab w:val="num" w:pos="576"/>
        </w:tabs>
        <w:jc w:val="both"/>
        <w:rPr>
          <w:b w:val="0"/>
          <w:sz w:val="22"/>
          <w:szCs w:val="22"/>
          <w:lang w:val="en-US"/>
        </w:rPr>
      </w:pPr>
    </w:p>
    <w:p w:rsidR="001754EB" w:rsidRPr="002B758F" w:rsidRDefault="001754EB" w:rsidP="00BD01D2">
      <w:pPr>
        <w:numPr>
          <w:ilvl w:val="0"/>
          <w:numId w:val="17"/>
        </w:numPr>
        <w:jc w:val="both"/>
        <w:rPr>
          <w:rStyle w:val="SubtleReference"/>
          <w:bCs/>
          <w:color w:val="auto"/>
          <w:spacing w:val="5"/>
          <w:u w:val="none"/>
        </w:rPr>
      </w:pPr>
      <w:r w:rsidRPr="002B758F">
        <w:rPr>
          <w:rStyle w:val="IntenseReference"/>
          <w:b w:val="0"/>
          <w:color w:val="auto"/>
          <w:u w:val="none"/>
        </w:rPr>
        <w:t>Bugarinovic М., Boskovic B., (2008), "Marginal Cost as princile for set up of rail infrastructrure Access Charges", Proccedings from "ŽELKON'08", ISBN 86-80587-59-1, pp.243-246, CD , Nis, 2008.,</w:t>
      </w:r>
    </w:p>
    <w:p w:rsidR="001754EB" w:rsidRPr="002B758F" w:rsidRDefault="001754EB" w:rsidP="00F81B5A">
      <w:pPr>
        <w:pStyle w:val="Sectionfirst"/>
        <w:numPr>
          <w:ilvl w:val="0"/>
          <w:numId w:val="17"/>
        </w:numPr>
        <w:rPr>
          <w:rStyle w:val="SubtleReference"/>
          <w:b/>
          <w:color w:val="auto"/>
          <w:u w:val="none"/>
        </w:rPr>
      </w:pPr>
      <w:r w:rsidRPr="002B758F">
        <w:rPr>
          <w:rStyle w:val="SubtleReference"/>
          <w:color w:val="auto"/>
          <w:u w:val="none"/>
        </w:rPr>
        <w:t xml:space="preserve">Commision of European communities </w:t>
      </w:r>
      <w:r w:rsidRPr="002B758F">
        <w:rPr>
          <w:rStyle w:val="IntenseReference"/>
          <w:b w:val="0"/>
          <w:color w:val="auto"/>
          <w:u w:val="none"/>
        </w:rPr>
        <w:t>COM (2007), Communication from the commision to the council and the european parlament, on the monitoring development of the rail market, Brussels, May 2007</w:t>
      </w:r>
    </w:p>
    <w:p w:rsidR="00544FBA" w:rsidRPr="00113099" w:rsidRDefault="00544FBA" w:rsidP="00544FBA">
      <w:pPr>
        <w:pStyle w:val="Sectionfirst"/>
        <w:numPr>
          <w:ilvl w:val="0"/>
          <w:numId w:val="17"/>
        </w:numPr>
        <w:rPr>
          <w:smallCaps/>
        </w:rPr>
      </w:pPr>
      <w:r>
        <w:rPr>
          <w:lang w:val="sr-Latn-CS"/>
        </w:rPr>
        <w:t>RAILCALC Project - Calculation of Charges For The Use of rail Infrastructure, DG TREN Project, 200</w:t>
      </w:r>
      <w:r>
        <w:t>8</w:t>
      </w:r>
    </w:p>
    <w:p w:rsidR="00A5414B" w:rsidRDefault="00F81B5A" w:rsidP="00F81B5A">
      <w:pPr>
        <w:pStyle w:val="Sectionfirst"/>
        <w:numPr>
          <w:ilvl w:val="0"/>
          <w:numId w:val="17"/>
        </w:numPr>
        <w:rPr>
          <w:rStyle w:val="SubtleReference"/>
          <w:color w:val="auto"/>
          <w:u w:val="none"/>
        </w:rPr>
      </w:pPr>
      <w:r w:rsidRPr="002B758F">
        <w:rPr>
          <w:rStyle w:val="SubtleReference"/>
          <w:color w:val="auto"/>
          <w:u w:val="none"/>
        </w:rPr>
        <w:t>Thompson L., (2008), railway access charges in the eu: current status and development since 2004, ECMT, Paris, 2008</w:t>
      </w:r>
    </w:p>
    <w:p w:rsidR="00392901" w:rsidRPr="002B758F" w:rsidRDefault="00392901" w:rsidP="00392901">
      <w:pPr>
        <w:pStyle w:val="Sectionfirst"/>
        <w:numPr>
          <w:ilvl w:val="0"/>
          <w:numId w:val="17"/>
        </w:numPr>
        <w:rPr>
          <w:rStyle w:val="SubtleReference"/>
          <w:color w:val="auto"/>
          <w:u w:val="none"/>
        </w:rPr>
      </w:pPr>
      <w:r w:rsidRPr="00392901">
        <w:rPr>
          <w:rStyle w:val="SubtleReference"/>
          <w:color w:val="auto"/>
          <w:u w:val="none"/>
        </w:rPr>
        <w:t xml:space="preserve">jp železnice srbije, </w:t>
      </w:r>
      <w:r w:rsidR="00F10179">
        <w:rPr>
          <w:rStyle w:val="IntenseReference"/>
          <w:b w:val="0"/>
          <w:color w:val="auto"/>
          <w:u w:val="none"/>
        </w:rPr>
        <w:t>Izveš</w:t>
      </w:r>
      <w:r>
        <w:rPr>
          <w:rStyle w:val="IntenseReference"/>
          <w:b w:val="0"/>
          <w:color w:val="auto"/>
          <w:u w:val="none"/>
        </w:rPr>
        <w:t>taj o realizaciji programa poslovanja za 2006. godinu, Beograd, Mart 2007</w:t>
      </w:r>
    </w:p>
    <w:p w:rsidR="00F81B5A" w:rsidRPr="00F81B5A" w:rsidRDefault="00F81B5A" w:rsidP="00392901">
      <w:pPr>
        <w:pStyle w:val="Sectionfirst"/>
        <w:ind w:left="720"/>
        <w:rPr>
          <w:rStyle w:val="SubtleReference"/>
        </w:rPr>
      </w:pPr>
    </w:p>
    <w:sectPr w:rsidR="00F81B5A" w:rsidRPr="00F81B5A" w:rsidSect="001C4510">
      <w:headerReference w:type="even" r:id="rId9"/>
      <w:headerReference w:type="default" r:id="rId10"/>
      <w:headerReference w:type="first" r:id="rId11"/>
      <w:footnotePr>
        <w:numRestart w:val="eachPage"/>
      </w:footnotePr>
      <w:endnotePr>
        <w:numFmt w:val="chicago"/>
      </w:endnotePr>
      <w:pgSz w:w="8392" w:h="11907" w:code="11"/>
      <w:pgMar w:top="1418" w:right="851" w:bottom="1418" w:left="851" w:header="709" w:footer="454" w:gutter="0"/>
      <w:pgNumType w:start="1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33A" w:rsidRDefault="00A0633A">
      <w:r>
        <w:separator/>
      </w:r>
    </w:p>
  </w:endnote>
  <w:endnote w:type="continuationSeparator" w:id="1">
    <w:p w:rsidR="00A0633A" w:rsidRDefault="00A063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33A" w:rsidRDefault="00A0633A">
      <w:r>
        <w:separator/>
      </w:r>
    </w:p>
  </w:footnote>
  <w:footnote w:type="continuationSeparator" w:id="1">
    <w:p w:rsidR="00A0633A" w:rsidRDefault="00A0633A">
      <w:r>
        <w:continuationSeparator/>
      </w:r>
    </w:p>
  </w:footnote>
  <w:footnote w:id="2">
    <w:p w:rsidR="000065FE" w:rsidRPr="00BD2959" w:rsidRDefault="000065FE">
      <w:pPr>
        <w:pStyle w:val="FootnoteText"/>
        <w:rPr>
          <w:lang w:val="en-US"/>
        </w:rPr>
      </w:pPr>
      <w:r>
        <w:rPr>
          <w:rStyle w:val="FootnoteReference"/>
        </w:rPr>
        <w:footnoteRef/>
      </w:r>
      <w:r>
        <w:t xml:space="preserve"> </w:t>
      </w:r>
      <w:r w:rsidRPr="00BD2959">
        <w:rPr>
          <w:i w:val="0"/>
        </w:rPr>
        <w:t>Nikola S</w:t>
      </w:r>
      <w:r>
        <w:rPr>
          <w:i w:val="0"/>
        </w:rPr>
        <w:t>tojadinovic</w:t>
      </w:r>
      <w:r w:rsidRPr="00BD2959">
        <w:rPr>
          <w:i w:val="0"/>
          <w:lang w:val="sr-Latn-CS"/>
        </w:rPr>
        <w:t xml:space="preserve">, dipl. ing., University of Belgrade, </w:t>
      </w:r>
      <w:r w:rsidRPr="00BD2959">
        <w:rPr>
          <w:i w:val="0"/>
        </w:rPr>
        <w:t>Faculty of Transport And Traffic Engineering</w:t>
      </w:r>
      <w:r w:rsidRPr="00BD2959" w:rsidDel="00A116F6">
        <w:rPr>
          <w:i w:val="0"/>
          <w:sz w:val="12"/>
          <w:lang w:val="sr-Latn-CS"/>
        </w:rPr>
        <w:t xml:space="preserve"> </w:t>
      </w:r>
      <w:r w:rsidRPr="00BD2959">
        <w:rPr>
          <w:i w:val="0"/>
          <w:lang w:val="sr-Latn-CS"/>
        </w:rPr>
        <w:t>Vojvode Stepe 305, 11000 Belgrade, Serbia, tel.: +381 11 3091 201, E-mail: nix7385</w:t>
      </w:r>
      <w:r w:rsidRPr="00BD2959">
        <w:rPr>
          <w:i w:val="0"/>
        </w:rPr>
        <w:t>@gmail.com</w:t>
      </w:r>
    </w:p>
  </w:footnote>
  <w:footnote w:id="3">
    <w:p w:rsidR="000065FE" w:rsidRDefault="000065FE" w:rsidP="00095444">
      <w:pPr>
        <w:pStyle w:val="Address"/>
      </w:pPr>
      <w:r>
        <w:rPr>
          <w:rStyle w:val="FootnoteReference"/>
        </w:rPr>
        <w:footnoteRef/>
      </w:r>
      <w:r>
        <w:t xml:space="preserve"> Mr Mirjana Bugarinovic, dipl.ing., University of Belgrade, Faculty of Transport And Traffic Engineering, Vojvode Stepe 305, 11000 Belgrade, Serbia, tel.: +381 11 3091 239, E-mail: mirab@sf.bg.ac.rs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FE" w:rsidRDefault="000065FE">
    <w:pPr>
      <w:pStyle w:val="Header"/>
      <w:framePr w:w="351" w:wrap="auto" w:vAnchor="text" w:hAnchor="page" w:x="841" w:y="-197"/>
      <w:jc w:val="left"/>
      <w:rPr>
        <w:rStyle w:val="PageNumber"/>
        <w:i/>
      </w:rPr>
    </w:pPr>
  </w:p>
  <w:p w:rsidR="000065FE" w:rsidRDefault="000065FE" w:rsidP="0045536A">
    <w:pPr>
      <w:pStyle w:val="Normlntext-odstavec"/>
      <w:spacing w:before="0" w:after="0"/>
      <w:jc w:val="right"/>
      <w:rPr>
        <w:rFonts w:ascii="Times New Roman" w:hAnsi="Times New Roman"/>
        <w:i/>
        <w:szCs w:val="16"/>
      </w:rPr>
    </w:pPr>
  </w:p>
  <w:p w:rsidR="000065FE" w:rsidRPr="0045536A" w:rsidRDefault="000065FE" w:rsidP="0045536A">
    <w:pPr>
      <w:pStyle w:val="Normlntext-odstavec"/>
      <w:spacing w:before="0" w:after="0"/>
      <w:jc w:val="right"/>
      <w:rPr>
        <w:rFonts w:ascii="Times New Roman" w:hAnsi="Times New Roman"/>
        <w:szCs w:val="16"/>
        <w:lang w:val="en-GB"/>
      </w:rPr>
    </w:pPr>
    <w:smartTag w:uri="urn:schemas-microsoft-com:office:smarttags" w:element="place">
      <w:smartTag w:uri="urn:schemas-microsoft-com:office:smarttags" w:element="PlaceType">
        <w:r w:rsidRPr="0045536A">
          <w:rPr>
            <w:rFonts w:ascii="Times New Roman" w:hAnsi="Times New Roman"/>
            <w:i/>
            <w:szCs w:val="16"/>
            <w:lang w:val="en-GB"/>
          </w:rPr>
          <w:t>University</w:t>
        </w:r>
      </w:smartTag>
      <w:r w:rsidRPr="0045536A">
        <w:rPr>
          <w:rFonts w:ascii="Times New Roman" w:hAnsi="Times New Roman"/>
          <w:i/>
          <w:szCs w:val="16"/>
          <w:lang w:val="en-GB"/>
        </w:rPr>
        <w:t xml:space="preserve"> of </w:t>
      </w:r>
      <w:smartTag w:uri="urn:schemas-microsoft-com:office:smarttags" w:element="PlaceName">
        <w:r w:rsidRPr="0045536A">
          <w:rPr>
            <w:rFonts w:ascii="Times New Roman" w:hAnsi="Times New Roman"/>
            <w:i/>
            <w:szCs w:val="16"/>
            <w:lang w:val="en-GB"/>
          </w:rPr>
          <w:t>Pardubice</w:t>
        </w:r>
      </w:smartTag>
    </w:smartTag>
    <w:r w:rsidRPr="0045536A">
      <w:rPr>
        <w:rFonts w:ascii="Times New Roman" w:hAnsi="Times New Roman"/>
        <w:i/>
        <w:szCs w:val="16"/>
        <w:lang w:val="en-GB"/>
      </w:rPr>
      <w:t>, Jan Perner Transport Faculty</w:t>
    </w:r>
  </w:p>
  <w:p w:rsidR="000065FE" w:rsidRDefault="003C1A17">
    <w:pPr>
      <w:pStyle w:val="Header"/>
      <w:ind w:right="360" w:firstLine="0"/>
    </w:pPr>
    <w:r w:rsidRPr="003C1A17">
      <w:rPr>
        <w:noProof/>
      </w:rPr>
      <w:pict>
        <v:line id="_x0000_s2049" style="position:absolute;left:0;text-align:left;flip:x;z-index:251656704;mso-position-vertical-relative:page" from="-2.8pt,63.05pt" to="334pt,63.25pt">
          <w10:wrap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FE" w:rsidRPr="004729A0" w:rsidRDefault="000065FE" w:rsidP="0045536A">
    <w:pPr>
      <w:pStyle w:val="Normlntext-odstavec"/>
      <w:spacing w:before="0" w:after="0"/>
      <w:ind w:firstLine="0"/>
      <w:rPr>
        <w:rFonts w:ascii="Times New Roman" w:hAnsi="Times New Roman"/>
        <w:i/>
        <w:spacing w:val="-6"/>
        <w:szCs w:val="16"/>
        <w:lang w:val="en-GB"/>
      </w:rPr>
    </w:pPr>
    <w:r>
      <w:rPr>
        <w:rFonts w:ascii="Times New Roman" w:hAnsi="Times New Roman"/>
        <w:i/>
        <w:spacing w:val="-6"/>
        <w:szCs w:val="16"/>
        <w:lang w:val="en-GB"/>
      </w:rPr>
      <w:t>5</w:t>
    </w:r>
    <w:r w:rsidRPr="004729A0">
      <w:rPr>
        <w:rFonts w:ascii="Times New Roman" w:hAnsi="Times New Roman"/>
        <w:i/>
        <w:spacing w:val="-6"/>
        <w:szCs w:val="16"/>
        <w:vertAlign w:val="superscript"/>
        <w:lang w:val="en-GB"/>
      </w:rPr>
      <w:t>th</w:t>
    </w:r>
    <w:r w:rsidRPr="004729A0">
      <w:rPr>
        <w:rFonts w:ascii="Times New Roman" w:hAnsi="Times New Roman"/>
        <w:i/>
        <w:spacing w:val="-6"/>
        <w:szCs w:val="16"/>
        <w:lang w:val="en-GB"/>
      </w:rPr>
      <w:t xml:space="preserve"> International Scientific Conference „</w:t>
    </w:r>
    <w:r>
      <w:rPr>
        <w:rFonts w:ascii="Times New Roman" w:hAnsi="Times New Roman"/>
        <w:i/>
        <w:spacing w:val="-6"/>
        <w:szCs w:val="16"/>
        <w:lang w:val="en-GB"/>
      </w:rPr>
      <w:t>Theoretical and Practical Issues in Transport</w:t>
    </w:r>
    <w:r w:rsidRPr="004729A0">
      <w:rPr>
        <w:rFonts w:ascii="Times New Roman" w:hAnsi="Times New Roman"/>
        <w:i/>
        <w:spacing w:val="-6"/>
        <w:szCs w:val="16"/>
        <w:lang w:val="en-GB"/>
      </w:rPr>
      <w:t>“</w:t>
    </w:r>
  </w:p>
  <w:p w:rsidR="000065FE" w:rsidRPr="004729A0" w:rsidRDefault="000065FE" w:rsidP="0045536A">
    <w:pPr>
      <w:pStyle w:val="Normlntext-odstavec"/>
      <w:spacing w:before="0" w:after="0"/>
      <w:ind w:firstLine="0"/>
      <w:rPr>
        <w:rFonts w:ascii="Times New Roman" w:hAnsi="Times New Roman"/>
        <w:i/>
        <w:szCs w:val="16"/>
        <w:lang w:val="en-GB"/>
      </w:rPr>
    </w:pPr>
    <w:r w:rsidRPr="004729A0">
      <w:rPr>
        <w:rFonts w:ascii="Times New Roman" w:hAnsi="Times New Roman"/>
        <w:i/>
        <w:spacing w:val="-6"/>
        <w:szCs w:val="16"/>
        <w:lang w:val="en-GB"/>
      </w:rPr>
      <w:t xml:space="preserve"> </w:t>
    </w:r>
    <w:smartTag w:uri="urn:schemas-microsoft-com:office:smarttags" w:element="City">
      <w:smartTag w:uri="urn:schemas-microsoft-com:office:smarttags" w:element="place">
        <w:r w:rsidRPr="004729A0">
          <w:rPr>
            <w:rFonts w:ascii="Times New Roman" w:hAnsi="Times New Roman"/>
            <w:i/>
            <w:spacing w:val="-6"/>
            <w:szCs w:val="16"/>
            <w:lang w:val="en-GB"/>
          </w:rPr>
          <w:t>Pardubice</w:t>
        </w:r>
      </w:smartTag>
    </w:smartTag>
    <w:r w:rsidRPr="004729A0">
      <w:rPr>
        <w:rFonts w:ascii="Times New Roman" w:hAnsi="Times New Roman"/>
        <w:i/>
        <w:spacing w:val="-6"/>
        <w:szCs w:val="16"/>
        <w:lang w:val="en-GB"/>
      </w:rPr>
      <w:t xml:space="preserve">, </w:t>
    </w:r>
    <w:r>
      <w:rPr>
        <w:rFonts w:ascii="Times New Roman" w:hAnsi="Times New Roman"/>
        <w:i/>
        <w:spacing w:val="-6"/>
        <w:szCs w:val="16"/>
        <w:lang w:val="en-GB"/>
      </w:rPr>
      <w:t>February 11</w:t>
    </w:r>
    <w:r w:rsidRPr="004729A0">
      <w:rPr>
        <w:rFonts w:ascii="Times New Roman" w:hAnsi="Times New Roman"/>
        <w:i/>
        <w:spacing w:val="-6"/>
        <w:szCs w:val="16"/>
        <w:vertAlign w:val="superscript"/>
        <w:lang w:val="en-GB"/>
      </w:rPr>
      <w:t>th</w:t>
    </w:r>
    <w:r>
      <w:rPr>
        <w:rFonts w:ascii="Times New Roman" w:hAnsi="Times New Roman"/>
        <w:i/>
        <w:spacing w:val="-6"/>
        <w:szCs w:val="16"/>
        <w:lang w:val="en-GB"/>
      </w:rPr>
      <w:t xml:space="preserve"> -12</w:t>
    </w:r>
    <w:r w:rsidRPr="004729A0">
      <w:rPr>
        <w:rFonts w:ascii="Times New Roman" w:hAnsi="Times New Roman"/>
        <w:i/>
        <w:spacing w:val="-6"/>
        <w:szCs w:val="16"/>
        <w:vertAlign w:val="superscript"/>
        <w:lang w:val="en-GB"/>
      </w:rPr>
      <w:t>th</w:t>
    </w:r>
    <w:r>
      <w:rPr>
        <w:rFonts w:ascii="Times New Roman" w:hAnsi="Times New Roman"/>
        <w:i/>
        <w:spacing w:val="-6"/>
        <w:szCs w:val="16"/>
        <w:lang w:val="en-GB"/>
      </w:rPr>
      <w:t>, 2010</w:t>
    </w:r>
  </w:p>
  <w:p w:rsidR="000065FE" w:rsidRDefault="003C1A17">
    <w:r w:rsidRPr="003C1A17">
      <w:rPr>
        <w:noProof/>
      </w:rPr>
      <w:pict>
        <v:line id="_x0000_s2051" style="position:absolute;z-index:251657728;mso-position-vertical-relative:page" from="-2.8pt,63.05pt" to="334.75pt,63.1pt">
          <w10:wrap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FE" w:rsidRDefault="003C1A17">
    <w:pPr>
      <w:pStyle w:val="Header"/>
    </w:pPr>
    <w:r w:rsidRPr="003C1A17">
      <w:rPr>
        <w:noProof/>
      </w:rPr>
      <w:pict>
        <v:line id="_x0000_s2054" style="position:absolute;left:0;text-align:left;z-index:251658752;mso-position-vertical-relative:page" from=".2pt,81.45pt" to="335.85pt,81.5pt" o:allowincell="f" strokeweight=".6pt">
          <v:stroke startarrowwidth="narrow" startarrowlength="short" endarrowwidth="narrow" endarrowlength="short"/>
          <w10:wrap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70EF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60B0A418"/>
    <w:lvl w:ilvl="0">
      <w:numFmt w:val="none"/>
      <w:lvlText w:val=""/>
      <w:lvlJc w:val="left"/>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cs="Times New Roman" w:hint="default"/>
      </w:rPr>
    </w:lvl>
    <w:lvl w:ilvl="4">
      <w:numFmt w:val="decimal"/>
      <w:lvlText w:val="%5"/>
      <w:legacy w:legacy="1" w:legacySpace="0" w:legacyIndent="0"/>
      <w:lvlJc w:val="left"/>
      <w:rPr>
        <w:rFonts w:ascii="Tms Rmn" w:hAnsi="Tms Rmn" w:cs="Times New Roman" w:hint="default"/>
      </w:rPr>
    </w:lvl>
    <w:lvl w:ilvl="5">
      <w:numFmt w:val="decimal"/>
      <w:lvlText w:val="%6"/>
      <w:legacy w:legacy="1" w:legacySpace="0" w:legacyIndent="0"/>
      <w:lvlJc w:val="left"/>
      <w:rPr>
        <w:rFonts w:ascii="Tms Rmn" w:hAnsi="Tms Rmn" w:cs="Times New Roman" w:hint="default"/>
      </w:rPr>
    </w:lvl>
    <w:lvl w:ilvl="6">
      <w:numFmt w:val="decimal"/>
      <w:lvlText w:val="%7"/>
      <w:legacy w:legacy="1" w:legacySpace="0" w:legacyIndent="0"/>
      <w:lvlJc w:val="left"/>
      <w:rPr>
        <w:rFonts w:ascii="Tms Rmn" w:hAnsi="Tms Rmn" w:cs="Times New Roman" w:hint="default"/>
      </w:rPr>
    </w:lvl>
    <w:lvl w:ilvl="7">
      <w:numFmt w:val="decimal"/>
      <w:lvlText w:val="%8"/>
      <w:legacy w:legacy="1" w:legacySpace="0" w:legacyIndent="0"/>
      <w:lvlJc w:val="left"/>
      <w:rPr>
        <w:rFonts w:ascii="Tms Rmn" w:hAnsi="Tms Rmn" w:cs="Times New Roman" w:hint="default"/>
      </w:rPr>
    </w:lvl>
    <w:lvl w:ilvl="8">
      <w:numFmt w:val="decimal"/>
      <w:lvlText w:val="%9"/>
      <w:legacy w:legacy="1" w:legacySpace="0" w:legacyIndent="0"/>
      <w:lvlJc w:val="left"/>
      <w:rPr>
        <w:rFonts w:ascii="Tms Rmn" w:hAnsi="Tms Rmn" w:cs="Times New Roman" w:hint="default"/>
      </w:rPr>
    </w:lvl>
  </w:abstractNum>
  <w:abstractNum w:abstractNumId="2">
    <w:nsid w:val="063C4D85"/>
    <w:multiLevelType w:val="hybridMultilevel"/>
    <w:tmpl w:val="3C40BEDC"/>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3">
    <w:nsid w:val="08F124FF"/>
    <w:multiLevelType w:val="singleLevel"/>
    <w:tmpl w:val="2856F8C6"/>
    <w:lvl w:ilvl="0">
      <w:start w:val="1"/>
      <w:numFmt w:val="decimal"/>
      <w:pStyle w:val="SVT-nadpis1sslovnm"/>
      <w:lvlText w:val="%1."/>
      <w:lvlJc w:val="left"/>
      <w:pPr>
        <w:tabs>
          <w:tab w:val="num" w:pos="360"/>
        </w:tabs>
        <w:ind w:left="170" w:hanging="170"/>
      </w:pPr>
      <w:rPr>
        <w:sz w:val="20"/>
      </w:rPr>
    </w:lvl>
  </w:abstractNum>
  <w:abstractNum w:abstractNumId="4">
    <w:nsid w:val="09566598"/>
    <w:multiLevelType w:val="hybridMultilevel"/>
    <w:tmpl w:val="A97A3FAA"/>
    <w:lvl w:ilvl="0" w:tplc="239EDC62">
      <w:start w:val="1"/>
      <w:numFmt w:val="decimal"/>
      <w:lvlText w:val="%1."/>
      <w:lvlJc w:val="left"/>
      <w:pPr>
        <w:tabs>
          <w:tab w:val="num" w:pos="1097"/>
        </w:tabs>
        <w:ind w:left="1097" w:hanging="37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866062"/>
    <w:multiLevelType w:val="singleLevel"/>
    <w:tmpl w:val="AF32834C"/>
    <w:lvl w:ilvl="0">
      <w:start w:val="1"/>
      <w:numFmt w:val="bullet"/>
      <w:pStyle w:val="BulletItem"/>
      <w:lvlText w:val=""/>
      <w:lvlJc w:val="left"/>
      <w:pPr>
        <w:tabs>
          <w:tab w:val="num" w:pos="794"/>
        </w:tabs>
        <w:ind w:left="794" w:hanging="397"/>
      </w:pPr>
      <w:rPr>
        <w:rFonts w:ascii="Symbol" w:hAnsi="Symbol" w:cs="Times New Roman" w:hint="default"/>
      </w:rPr>
    </w:lvl>
  </w:abstractNum>
  <w:abstractNum w:abstractNumId="6">
    <w:nsid w:val="12394A3E"/>
    <w:multiLevelType w:val="hybridMultilevel"/>
    <w:tmpl w:val="8042F81A"/>
    <w:lvl w:ilvl="0" w:tplc="0409000F">
      <w:start w:val="1"/>
      <w:numFmt w:val="decimal"/>
      <w:lvlText w:val="%1."/>
      <w:lvlJc w:val="left"/>
      <w:pPr>
        <w:tabs>
          <w:tab w:val="num" w:pos="720"/>
        </w:tabs>
        <w:ind w:left="720" w:hanging="360"/>
      </w:pPr>
    </w:lvl>
    <w:lvl w:ilvl="1" w:tplc="69EE26D0">
      <w:start w:val="1"/>
      <w:numFmt w:val="decimal"/>
      <w:lvlText w:val="[%2]."/>
      <w:lvlJc w:val="left"/>
      <w:pPr>
        <w:tabs>
          <w:tab w:val="num" w:pos="1440"/>
        </w:tabs>
        <w:ind w:left="1440" w:hanging="53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083D6E"/>
    <w:multiLevelType w:val="hybridMultilevel"/>
    <w:tmpl w:val="CF58F7C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nsid w:val="16F911B5"/>
    <w:multiLevelType w:val="hybridMultilevel"/>
    <w:tmpl w:val="DF04362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9">
    <w:nsid w:val="170E27C0"/>
    <w:multiLevelType w:val="hybridMultilevel"/>
    <w:tmpl w:val="AC163C20"/>
    <w:lvl w:ilvl="0" w:tplc="FCA60E26">
      <w:start w:val="1"/>
      <w:numFmt w:val="bullet"/>
      <w:lvlText w:val=""/>
      <w:lvlJc w:val="left"/>
      <w:pPr>
        <w:ind w:left="1146" w:hanging="360"/>
      </w:pPr>
      <w:rPr>
        <w:rFonts w:ascii="Symbol" w:hAnsi="Symbol" w:hint="default"/>
        <w:vertAlign w:val="baseline"/>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A7B2293"/>
    <w:multiLevelType w:val="hybridMultilevel"/>
    <w:tmpl w:val="2BEA1B66"/>
    <w:lvl w:ilvl="0" w:tplc="7BD878F6">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B182864"/>
    <w:multiLevelType w:val="hybridMultilevel"/>
    <w:tmpl w:val="A052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BA62AC"/>
    <w:multiLevelType w:val="hybridMultilevel"/>
    <w:tmpl w:val="D78A826E"/>
    <w:lvl w:ilvl="0" w:tplc="E22411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F6F136B"/>
    <w:multiLevelType w:val="hybridMultilevel"/>
    <w:tmpl w:val="5C66153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26124A64"/>
    <w:multiLevelType w:val="multilevel"/>
    <w:tmpl w:val="C2D040F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62A4B6A"/>
    <w:multiLevelType w:val="hybridMultilevel"/>
    <w:tmpl w:val="E3D047EE"/>
    <w:lvl w:ilvl="0" w:tplc="081A000F">
      <w:start w:val="1"/>
      <w:numFmt w:val="decimal"/>
      <w:lvlText w:val="%1."/>
      <w:lvlJc w:val="left"/>
      <w:pPr>
        <w:ind w:left="1145" w:hanging="360"/>
      </w:pPr>
    </w:lvl>
    <w:lvl w:ilvl="1" w:tplc="081A0019" w:tentative="1">
      <w:start w:val="1"/>
      <w:numFmt w:val="lowerLetter"/>
      <w:lvlText w:val="%2."/>
      <w:lvlJc w:val="left"/>
      <w:pPr>
        <w:ind w:left="1865" w:hanging="360"/>
      </w:pPr>
    </w:lvl>
    <w:lvl w:ilvl="2" w:tplc="081A001B" w:tentative="1">
      <w:start w:val="1"/>
      <w:numFmt w:val="lowerRoman"/>
      <w:lvlText w:val="%3."/>
      <w:lvlJc w:val="right"/>
      <w:pPr>
        <w:ind w:left="2585" w:hanging="180"/>
      </w:pPr>
    </w:lvl>
    <w:lvl w:ilvl="3" w:tplc="081A000F" w:tentative="1">
      <w:start w:val="1"/>
      <w:numFmt w:val="decimal"/>
      <w:lvlText w:val="%4."/>
      <w:lvlJc w:val="left"/>
      <w:pPr>
        <w:ind w:left="3305" w:hanging="360"/>
      </w:pPr>
    </w:lvl>
    <w:lvl w:ilvl="4" w:tplc="081A0019" w:tentative="1">
      <w:start w:val="1"/>
      <w:numFmt w:val="lowerLetter"/>
      <w:lvlText w:val="%5."/>
      <w:lvlJc w:val="left"/>
      <w:pPr>
        <w:ind w:left="4025" w:hanging="360"/>
      </w:pPr>
    </w:lvl>
    <w:lvl w:ilvl="5" w:tplc="081A001B" w:tentative="1">
      <w:start w:val="1"/>
      <w:numFmt w:val="lowerRoman"/>
      <w:lvlText w:val="%6."/>
      <w:lvlJc w:val="right"/>
      <w:pPr>
        <w:ind w:left="4745" w:hanging="180"/>
      </w:pPr>
    </w:lvl>
    <w:lvl w:ilvl="6" w:tplc="081A000F" w:tentative="1">
      <w:start w:val="1"/>
      <w:numFmt w:val="decimal"/>
      <w:lvlText w:val="%7."/>
      <w:lvlJc w:val="left"/>
      <w:pPr>
        <w:ind w:left="5465" w:hanging="360"/>
      </w:pPr>
    </w:lvl>
    <w:lvl w:ilvl="7" w:tplc="081A0019" w:tentative="1">
      <w:start w:val="1"/>
      <w:numFmt w:val="lowerLetter"/>
      <w:lvlText w:val="%8."/>
      <w:lvlJc w:val="left"/>
      <w:pPr>
        <w:ind w:left="6185" w:hanging="360"/>
      </w:pPr>
    </w:lvl>
    <w:lvl w:ilvl="8" w:tplc="081A001B" w:tentative="1">
      <w:start w:val="1"/>
      <w:numFmt w:val="lowerRoman"/>
      <w:lvlText w:val="%9."/>
      <w:lvlJc w:val="right"/>
      <w:pPr>
        <w:ind w:left="6905" w:hanging="180"/>
      </w:pPr>
    </w:lvl>
  </w:abstractNum>
  <w:abstractNum w:abstractNumId="16">
    <w:nsid w:val="2CF85A95"/>
    <w:multiLevelType w:val="hybridMultilevel"/>
    <w:tmpl w:val="41BC1D12"/>
    <w:lvl w:ilvl="0" w:tplc="8E98CD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B1133"/>
    <w:multiLevelType w:val="hybridMultilevel"/>
    <w:tmpl w:val="6B10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630FD"/>
    <w:multiLevelType w:val="hybridMultilevel"/>
    <w:tmpl w:val="125A8BA8"/>
    <w:lvl w:ilvl="0" w:tplc="081A0001">
      <w:start w:val="1"/>
      <w:numFmt w:val="bullet"/>
      <w:lvlText w:val=""/>
      <w:lvlJc w:val="left"/>
      <w:pPr>
        <w:ind w:left="1230" w:hanging="360"/>
      </w:pPr>
      <w:rPr>
        <w:rFonts w:ascii="Symbol" w:hAnsi="Symbol" w:hint="default"/>
      </w:rPr>
    </w:lvl>
    <w:lvl w:ilvl="1" w:tplc="081A0003" w:tentative="1">
      <w:start w:val="1"/>
      <w:numFmt w:val="bullet"/>
      <w:lvlText w:val="o"/>
      <w:lvlJc w:val="left"/>
      <w:pPr>
        <w:ind w:left="1950" w:hanging="360"/>
      </w:pPr>
      <w:rPr>
        <w:rFonts w:ascii="Courier New" w:hAnsi="Courier New" w:cs="Courier New" w:hint="default"/>
      </w:rPr>
    </w:lvl>
    <w:lvl w:ilvl="2" w:tplc="081A0005" w:tentative="1">
      <w:start w:val="1"/>
      <w:numFmt w:val="bullet"/>
      <w:lvlText w:val=""/>
      <w:lvlJc w:val="left"/>
      <w:pPr>
        <w:ind w:left="2670" w:hanging="360"/>
      </w:pPr>
      <w:rPr>
        <w:rFonts w:ascii="Wingdings" w:hAnsi="Wingdings" w:hint="default"/>
      </w:rPr>
    </w:lvl>
    <w:lvl w:ilvl="3" w:tplc="081A0001" w:tentative="1">
      <w:start w:val="1"/>
      <w:numFmt w:val="bullet"/>
      <w:lvlText w:val=""/>
      <w:lvlJc w:val="left"/>
      <w:pPr>
        <w:ind w:left="3390" w:hanging="360"/>
      </w:pPr>
      <w:rPr>
        <w:rFonts w:ascii="Symbol" w:hAnsi="Symbol" w:hint="default"/>
      </w:rPr>
    </w:lvl>
    <w:lvl w:ilvl="4" w:tplc="081A0003" w:tentative="1">
      <w:start w:val="1"/>
      <w:numFmt w:val="bullet"/>
      <w:lvlText w:val="o"/>
      <w:lvlJc w:val="left"/>
      <w:pPr>
        <w:ind w:left="4110" w:hanging="360"/>
      </w:pPr>
      <w:rPr>
        <w:rFonts w:ascii="Courier New" w:hAnsi="Courier New" w:cs="Courier New" w:hint="default"/>
      </w:rPr>
    </w:lvl>
    <w:lvl w:ilvl="5" w:tplc="081A0005" w:tentative="1">
      <w:start w:val="1"/>
      <w:numFmt w:val="bullet"/>
      <w:lvlText w:val=""/>
      <w:lvlJc w:val="left"/>
      <w:pPr>
        <w:ind w:left="4830" w:hanging="360"/>
      </w:pPr>
      <w:rPr>
        <w:rFonts w:ascii="Wingdings" w:hAnsi="Wingdings" w:hint="default"/>
      </w:rPr>
    </w:lvl>
    <w:lvl w:ilvl="6" w:tplc="081A0001" w:tentative="1">
      <w:start w:val="1"/>
      <w:numFmt w:val="bullet"/>
      <w:lvlText w:val=""/>
      <w:lvlJc w:val="left"/>
      <w:pPr>
        <w:ind w:left="5550" w:hanging="360"/>
      </w:pPr>
      <w:rPr>
        <w:rFonts w:ascii="Symbol" w:hAnsi="Symbol" w:hint="default"/>
      </w:rPr>
    </w:lvl>
    <w:lvl w:ilvl="7" w:tplc="081A0003" w:tentative="1">
      <w:start w:val="1"/>
      <w:numFmt w:val="bullet"/>
      <w:lvlText w:val="o"/>
      <w:lvlJc w:val="left"/>
      <w:pPr>
        <w:ind w:left="6270" w:hanging="360"/>
      </w:pPr>
      <w:rPr>
        <w:rFonts w:ascii="Courier New" w:hAnsi="Courier New" w:cs="Courier New" w:hint="default"/>
      </w:rPr>
    </w:lvl>
    <w:lvl w:ilvl="8" w:tplc="081A0005" w:tentative="1">
      <w:start w:val="1"/>
      <w:numFmt w:val="bullet"/>
      <w:lvlText w:val=""/>
      <w:lvlJc w:val="left"/>
      <w:pPr>
        <w:ind w:left="6990" w:hanging="360"/>
      </w:pPr>
      <w:rPr>
        <w:rFonts w:ascii="Wingdings" w:hAnsi="Wingdings" w:hint="default"/>
      </w:rPr>
    </w:lvl>
  </w:abstractNum>
  <w:abstractNum w:abstractNumId="19">
    <w:nsid w:val="361E6B67"/>
    <w:multiLevelType w:val="singleLevel"/>
    <w:tmpl w:val="2BFE2C46"/>
    <w:lvl w:ilvl="0">
      <w:start w:val="1"/>
      <w:numFmt w:val="bullet"/>
      <w:pStyle w:val="odrky"/>
      <w:lvlText w:val=""/>
      <w:lvlJc w:val="left"/>
      <w:pPr>
        <w:tabs>
          <w:tab w:val="num" w:pos="360"/>
        </w:tabs>
        <w:ind w:left="360" w:hanging="360"/>
      </w:pPr>
      <w:rPr>
        <w:rFonts w:ascii="Symbol" w:hAnsi="Symbol" w:hint="default"/>
      </w:rPr>
    </w:lvl>
  </w:abstractNum>
  <w:abstractNum w:abstractNumId="20">
    <w:nsid w:val="3F625525"/>
    <w:multiLevelType w:val="hybridMultilevel"/>
    <w:tmpl w:val="50D0D3D8"/>
    <w:lvl w:ilvl="0" w:tplc="7E4A497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952693"/>
    <w:multiLevelType w:val="singleLevel"/>
    <w:tmpl w:val="B5F61D8C"/>
    <w:lvl w:ilvl="0">
      <w:start w:val="1"/>
      <w:numFmt w:val="decimal"/>
      <w:pStyle w:val="Reference"/>
      <w:lvlText w:val="%1."/>
      <w:lvlJc w:val="left"/>
      <w:pPr>
        <w:tabs>
          <w:tab w:val="num" w:pos="360"/>
        </w:tabs>
        <w:ind w:left="360" w:hanging="360"/>
      </w:pPr>
    </w:lvl>
  </w:abstractNum>
  <w:abstractNum w:abstractNumId="22">
    <w:nsid w:val="44105EC3"/>
    <w:multiLevelType w:val="hybridMultilevel"/>
    <w:tmpl w:val="7F4C11E0"/>
    <w:lvl w:ilvl="0" w:tplc="04050001">
      <w:start w:val="1"/>
      <w:numFmt w:val="bullet"/>
      <w:lvlText w:val=""/>
      <w:lvlJc w:val="left"/>
      <w:pPr>
        <w:tabs>
          <w:tab w:val="num" w:pos="1117"/>
        </w:tabs>
        <w:ind w:left="1117" w:hanging="360"/>
      </w:pPr>
      <w:rPr>
        <w:rFonts w:ascii="Symbol" w:hAnsi="Symbol" w:hint="default"/>
      </w:rPr>
    </w:lvl>
    <w:lvl w:ilvl="1" w:tplc="04050003" w:tentative="1">
      <w:start w:val="1"/>
      <w:numFmt w:val="bullet"/>
      <w:lvlText w:val="o"/>
      <w:lvlJc w:val="left"/>
      <w:pPr>
        <w:tabs>
          <w:tab w:val="num" w:pos="1837"/>
        </w:tabs>
        <w:ind w:left="1837" w:hanging="360"/>
      </w:pPr>
      <w:rPr>
        <w:rFonts w:ascii="Courier New" w:hAnsi="Courier New" w:cs="Courier New" w:hint="default"/>
      </w:rPr>
    </w:lvl>
    <w:lvl w:ilvl="2" w:tplc="04050005" w:tentative="1">
      <w:start w:val="1"/>
      <w:numFmt w:val="bullet"/>
      <w:lvlText w:val=""/>
      <w:lvlJc w:val="left"/>
      <w:pPr>
        <w:tabs>
          <w:tab w:val="num" w:pos="2557"/>
        </w:tabs>
        <w:ind w:left="2557" w:hanging="360"/>
      </w:pPr>
      <w:rPr>
        <w:rFonts w:ascii="Wingdings" w:hAnsi="Wingdings" w:hint="default"/>
      </w:rPr>
    </w:lvl>
    <w:lvl w:ilvl="3" w:tplc="04050001" w:tentative="1">
      <w:start w:val="1"/>
      <w:numFmt w:val="bullet"/>
      <w:lvlText w:val=""/>
      <w:lvlJc w:val="left"/>
      <w:pPr>
        <w:tabs>
          <w:tab w:val="num" w:pos="3277"/>
        </w:tabs>
        <w:ind w:left="3277" w:hanging="360"/>
      </w:pPr>
      <w:rPr>
        <w:rFonts w:ascii="Symbol" w:hAnsi="Symbol" w:hint="default"/>
      </w:rPr>
    </w:lvl>
    <w:lvl w:ilvl="4" w:tplc="04050003" w:tentative="1">
      <w:start w:val="1"/>
      <w:numFmt w:val="bullet"/>
      <w:lvlText w:val="o"/>
      <w:lvlJc w:val="left"/>
      <w:pPr>
        <w:tabs>
          <w:tab w:val="num" w:pos="3997"/>
        </w:tabs>
        <w:ind w:left="3997" w:hanging="360"/>
      </w:pPr>
      <w:rPr>
        <w:rFonts w:ascii="Courier New" w:hAnsi="Courier New" w:cs="Courier New" w:hint="default"/>
      </w:rPr>
    </w:lvl>
    <w:lvl w:ilvl="5" w:tplc="04050005" w:tentative="1">
      <w:start w:val="1"/>
      <w:numFmt w:val="bullet"/>
      <w:lvlText w:val=""/>
      <w:lvlJc w:val="left"/>
      <w:pPr>
        <w:tabs>
          <w:tab w:val="num" w:pos="4717"/>
        </w:tabs>
        <w:ind w:left="4717" w:hanging="360"/>
      </w:pPr>
      <w:rPr>
        <w:rFonts w:ascii="Wingdings" w:hAnsi="Wingdings" w:hint="default"/>
      </w:rPr>
    </w:lvl>
    <w:lvl w:ilvl="6" w:tplc="04050001" w:tentative="1">
      <w:start w:val="1"/>
      <w:numFmt w:val="bullet"/>
      <w:lvlText w:val=""/>
      <w:lvlJc w:val="left"/>
      <w:pPr>
        <w:tabs>
          <w:tab w:val="num" w:pos="5437"/>
        </w:tabs>
        <w:ind w:left="5437" w:hanging="360"/>
      </w:pPr>
      <w:rPr>
        <w:rFonts w:ascii="Symbol" w:hAnsi="Symbol" w:hint="default"/>
      </w:rPr>
    </w:lvl>
    <w:lvl w:ilvl="7" w:tplc="04050003" w:tentative="1">
      <w:start w:val="1"/>
      <w:numFmt w:val="bullet"/>
      <w:lvlText w:val="o"/>
      <w:lvlJc w:val="left"/>
      <w:pPr>
        <w:tabs>
          <w:tab w:val="num" w:pos="6157"/>
        </w:tabs>
        <w:ind w:left="6157" w:hanging="360"/>
      </w:pPr>
      <w:rPr>
        <w:rFonts w:ascii="Courier New" w:hAnsi="Courier New" w:cs="Courier New" w:hint="default"/>
      </w:rPr>
    </w:lvl>
    <w:lvl w:ilvl="8" w:tplc="04050005" w:tentative="1">
      <w:start w:val="1"/>
      <w:numFmt w:val="bullet"/>
      <w:lvlText w:val=""/>
      <w:lvlJc w:val="left"/>
      <w:pPr>
        <w:tabs>
          <w:tab w:val="num" w:pos="6877"/>
        </w:tabs>
        <w:ind w:left="6877" w:hanging="360"/>
      </w:pPr>
      <w:rPr>
        <w:rFonts w:ascii="Wingdings" w:hAnsi="Wingdings" w:hint="default"/>
      </w:rPr>
    </w:lvl>
  </w:abstractNum>
  <w:abstractNum w:abstractNumId="23">
    <w:nsid w:val="49DF40B2"/>
    <w:multiLevelType w:val="hybridMultilevel"/>
    <w:tmpl w:val="509832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A8511F6"/>
    <w:multiLevelType w:val="hybridMultilevel"/>
    <w:tmpl w:val="DD3E386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5">
    <w:nsid w:val="4DF3271E"/>
    <w:multiLevelType w:val="multilevel"/>
    <w:tmpl w:val="2B8CE7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F802DBC"/>
    <w:multiLevelType w:val="hybridMultilevel"/>
    <w:tmpl w:val="853843F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508127B8"/>
    <w:multiLevelType w:val="hybridMultilevel"/>
    <w:tmpl w:val="15BE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5E19E4"/>
    <w:multiLevelType w:val="hybridMultilevel"/>
    <w:tmpl w:val="4044C864"/>
    <w:lvl w:ilvl="0" w:tplc="2A86BD46">
      <w:start w:val="1"/>
      <w:numFmt w:val="bullet"/>
      <w:lvlText w:val=""/>
      <w:lvlJc w:val="left"/>
      <w:pPr>
        <w:ind w:left="720" w:hanging="360"/>
      </w:pPr>
      <w:rPr>
        <w:rFonts w:ascii="Symbol" w:hAnsi="Symbol" w:hint="default"/>
        <w:sz w:val="2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ACA2F09"/>
    <w:multiLevelType w:val="singleLevel"/>
    <w:tmpl w:val="812E65A4"/>
    <w:lvl w:ilvl="0">
      <w:start w:val="1"/>
      <w:numFmt w:val="bullet"/>
      <w:lvlText w:val=""/>
      <w:lvlJc w:val="left"/>
      <w:pPr>
        <w:tabs>
          <w:tab w:val="num" w:pos="360"/>
        </w:tabs>
        <w:ind w:left="360" w:hanging="360"/>
      </w:pPr>
      <w:rPr>
        <w:rFonts w:ascii="Symbol" w:hAnsi="Symbol" w:cs="Times New Roman" w:hint="default"/>
      </w:rPr>
    </w:lvl>
  </w:abstractNum>
  <w:abstractNum w:abstractNumId="30">
    <w:nsid w:val="625362A3"/>
    <w:multiLevelType w:val="hybridMultilevel"/>
    <w:tmpl w:val="90FEC958"/>
    <w:lvl w:ilvl="0" w:tplc="91747F5A">
      <w:start w:val="1"/>
      <w:numFmt w:val="decimal"/>
      <w:pStyle w:val="Literatura"/>
      <w:lvlText w:val="[%1]"/>
      <w:lvlJc w:val="left"/>
      <w:pPr>
        <w:tabs>
          <w:tab w:val="num" w:pos="360"/>
        </w:tabs>
        <w:ind w:left="357" w:hanging="357"/>
      </w:pPr>
      <w:rPr>
        <w:rFonts w:ascii="Times New Roman" w:hAnsi="Times New Roman" w:hint="default"/>
        <w:b w:val="0"/>
        <w:i w:val="0"/>
        <w:sz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5C3F11"/>
    <w:multiLevelType w:val="multilevel"/>
    <w:tmpl w:val="E8B2A85C"/>
    <w:lvl w:ilvl="0">
      <w:start w:val="1"/>
      <w:numFmt w:val="decimal"/>
      <w:pStyle w:val="Titke2"/>
      <w:lvlText w:val="%1"/>
      <w:lvlJc w:val="left"/>
      <w:pPr>
        <w:tabs>
          <w:tab w:val="num" w:pos="432"/>
        </w:tabs>
        <w:ind w:left="432" w:hanging="432"/>
      </w:pPr>
      <w:rPr>
        <w:rFonts w:hint="default"/>
      </w:rPr>
    </w:lvl>
    <w:lvl w:ilvl="1">
      <w:start w:val="1"/>
      <w:numFmt w:val="decimal"/>
      <w:pStyle w:val="Title3"/>
      <w:lvlText w:val="%1.%2"/>
      <w:lvlJc w:val="left"/>
      <w:pPr>
        <w:tabs>
          <w:tab w:val="num" w:pos="576"/>
        </w:tabs>
        <w:ind w:left="576" w:hanging="576"/>
      </w:pPr>
      <w:rPr>
        <w:rFonts w:hint="default"/>
      </w:rPr>
    </w:lvl>
    <w:lvl w:ilvl="2">
      <w:start w:val="1"/>
      <w:numFmt w:val="decimal"/>
      <w:pStyle w:val="Title4"/>
      <w:lvlText w:val="4.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2B03946"/>
    <w:multiLevelType w:val="multilevel"/>
    <w:tmpl w:val="E0081FE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3">
    <w:nsid w:val="65AA076D"/>
    <w:multiLevelType w:val="hybridMultilevel"/>
    <w:tmpl w:val="0D8067F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nsid w:val="66B20913"/>
    <w:multiLevelType w:val="hybridMultilevel"/>
    <w:tmpl w:val="A76C4B9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69C8747B"/>
    <w:multiLevelType w:val="hybridMultilevel"/>
    <w:tmpl w:val="DD0CB9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E057B7E"/>
    <w:multiLevelType w:val="hybridMultilevel"/>
    <w:tmpl w:val="CAF2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3A16B0"/>
    <w:multiLevelType w:val="hybridMultilevel"/>
    <w:tmpl w:val="3E10708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75C97DFB"/>
    <w:multiLevelType w:val="hybridMultilevel"/>
    <w:tmpl w:val="299A3F96"/>
    <w:lvl w:ilvl="0" w:tplc="7E4A4974">
      <w:start w:val="1"/>
      <w:numFmt w:val="bullet"/>
      <w:lvlText w:val=""/>
      <w:lvlJc w:val="left"/>
      <w:pPr>
        <w:ind w:left="1070"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nsid w:val="7D921F1F"/>
    <w:multiLevelType w:val="hybridMultilevel"/>
    <w:tmpl w:val="51A6A324"/>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40">
    <w:nsid w:val="7DF62AA7"/>
    <w:multiLevelType w:val="hybridMultilevel"/>
    <w:tmpl w:val="E6447ED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31"/>
  </w:num>
  <w:num w:numId="2">
    <w:abstractNumId w:val="19"/>
  </w:num>
  <w:num w:numId="3">
    <w:abstractNumId w:val="3"/>
  </w:num>
  <w:num w:numId="4">
    <w:abstractNumId w:val="0"/>
  </w:num>
  <w:num w:numId="5">
    <w:abstractNumId w:val="35"/>
  </w:num>
  <w:num w:numId="6">
    <w:abstractNumId w:val="1"/>
  </w:num>
  <w:num w:numId="7">
    <w:abstractNumId w:val="29"/>
  </w:num>
  <w:num w:numId="8">
    <w:abstractNumId w:val="21"/>
  </w:num>
  <w:num w:numId="9">
    <w:abstractNumId w:val="5"/>
  </w:num>
  <w:num w:numId="10">
    <w:abstractNumId w:val="2"/>
  </w:num>
  <w:num w:numId="11">
    <w:abstractNumId w:val="22"/>
  </w:num>
  <w:num w:numId="12">
    <w:abstractNumId w:val="39"/>
  </w:num>
  <w:num w:numId="13">
    <w:abstractNumId w:val="32"/>
  </w:num>
  <w:num w:numId="14">
    <w:abstractNumId w:val="14"/>
  </w:num>
  <w:num w:numId="15">
    <w:abstractNumId w:val="25"/>
  </w:num>
  <w:num w:numId="16">
    <w:abstractNumId w:val="30"/>
  </w:num>
  <w:num w:numId="17">
    <w:abstractNumId w:val="16"/>
  </w:num>
  <w:num w:numId="18">
    <w:abstractNumId w:val="6"/>
  </w:num>
  <w:num w:numId="19">
    <w:abstractNumId w:val="4"/>
  </w:num>
  <w:num w:numId="20">
    <w:abstractNumId w:val="15"/>
  </w:num>
  <w:num w:numId="21">
    <w:abstractNumId w:val="20"/>
  </w:num>
  <w:num w:numId="22">
    <w:abstractNumId w:val="38"/>
  </w:num>
  <w:num w:numId="23">
    <w:abstractNumId w:val="28"/>
  </w:num>
  <w:num w:numId="24">
    <w:abstractNumId w:val="12"/>
  </w:num>
  <w:num w:numId="25">
    <w:abstractNumId w:val="37"/>
  </w:num>
  <w:num w:numId="26">
    <w:abstractNumId w:val="18"/>
  </w:num>
  <w:num w:numId="27">
    <w:abstractNumId w:val="9"/>
  </w:num>
  <w:num w:numId="28">
    <w:abstractNumId w:val="26"/>
  </w:num>
  <w:num w:numId="29">
    <w:abstractNumId w:val="33"/>
  </w:num>
  <w:num w:numId="30">
    <w:abstractNumId w:val="24"/>
  </w:num>
  <w:num w:numId="31">
    <w:abstractNumId w:val="40"/>
  </w:num>
  <w:num w:numId="32">
    <w:abstractNumId w:val="7"/>
  </w:num>
  <w:num w:numId="33">
    <w:abstractNumId w:val="8"/>
  </w:num>
  <w:num w:numId="34">
    <w:abstractNumId w:val="13"/>
  </w:num>
  <w:num w:numId="35">
    <w:abstractNumId w:val="23"/>
  </w:num>
  <w:num w:numId="36">
    <w:abstractNumId w:val="10"/>
  </w:num>
  <w:num w:numId="37">
    <w:abstractNumId w:val="34"/>
  </w:num>
  <w:num w:numId="38">
    <w:abstractNumId w:val="11"/>
  </w:num>
  <w:num w:numId="39">
    <w:abstractNumId w:val="27"/>
  </w:num>
  <w:num w:numId="40">
    <w:abstractNumId w:val="36"/>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mirrorMargins/>
  <w:attachedTemplate r:id="rId1"/>
  <w:stylePaneFormatFilter w:val="3F01"/>
  <w:defaultTabStop w:val="708"/>
  <w:hyphenationZone w:val="425"/>
  <w:doNotHyphenateCaps/>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32770"/>
    <o:shapelayout v:ext="edit">
      <o:idmap v:ext="edit" data="2"/>
      <o:regrouptable v:ext="edit">
        <o:entry new="1" old="0"/>
      </o:regrouptable>
    </o:shapelayout>
  </w:hdrShapeDefaults>
  <w:footnotePr>
    <w:numRestart w:val="eachPage"/>
    <w:footnote w:id="0"/>
    <w:footnote w:id="1"/>
  </w:footnotePr>
  <w:endnotePr>
    <w:pos w:val="sectEnd"/>
    <w:numFmt w:val="chicago"/>
    <w:endnote w:id="0"/>
    <w:endnote w:id="1"/>
  </w:endnotePr>
  <w:compat/>
  <w:rsids>
    <w:rsidRoot w:val="0006269E"/>
    <w:rsid w:val="000007C0"/>
    <w:rsid w:val="00005741"/>
    <w:rsid w:val="00005EB9"/>
    <w:rsid w:val="000065FE"/>
    <w:rsid w:val="0002198C"/>
    <w:rsid w:val="000273B0"/>
    <w:rsid w:val="00031CB0"/>
    <w:rsid w:val="00043E83"/>
    <w:rsid w:val="000467ED"/>
    <w:rsid w:val="0006269E"/>
    <w:rsid w:val="000747FB"/>
    <w:rsid w:val="000778DD"/>
    <w:rsid w:val="00095444"/>
    <w:rsid w:val="000A15EE"/>
    <w:rsid w:val="000D7573"/>
    <w:rsid w:val="000E0E4B"/>
    <w:rsid w:val="0010163F"/>
    <w:rsid w:val="00110D61"/>
    <w:rsid w:val="001123FF"/>
    <w:rsid w:val="00120345"/>
    <w:rsid w:val="0013635C"/>
    <w:rsid w:val="001368CF"/>
    <w:rsid w:val="00137535"/>
    <w:rsid w:val="00144528"/>
    <w:rsid w:val="00147AC1"/>
    <w:rsid w:val="00152ED2"/>
    <w:rsid w:val="00155058"/>
    <w:rsid w:val="00172E08"/>
    <w:rsid w:val="001754EB"/>
    <w:rsid w:val="001862DF"/>
    <w:rsid w:val="001961F5"/>
    <w:rsid w:val="001B1569"/>
    <w:rsid w:val="001C4510"/>
    <w:rsid w:val="001D4616"/>
    <w:rsid w:val="001F24D1"/>
    <w:rsid w:val="001F4EEC"/>
    <w:rsid w:val="00213394"/>
    <w:rsid w:val="00214994"/>
    <w:rsid w:val="00220C6D"/>
    <w:rsid w:val="002259D6"/>
    <w:rsid w:val="00226916"/>
    <w:rsid w:val="00227B89"/>
    <w:rsid w:val="00236F56"/>
    <w:rsid w:val="00246FCF"/>
    <w:rsid w:val="0026314A"/>
    <w:rsid w:val="00275595"/>
    <w:rsid w:val="00277C30"/>
    <w:rsid w:val="00280BC8"/>
    <w:rsid w:val="00290070"/>
    <w:rsid w:val="002A6BDF"/>
    <w:rsid w:val="002B435B"/>
    <w:rsid w:val="002B758F"/>
    <w:rsid w:val="002C59AE"/>
    <w:rsid w:val="002D2BF1"/>
    <w:rsid w:val="002D4585"/>
    <w:rsid w:val="002E7AAE"/>
    <w:rsid w:val="002F4841"/>
    <w:rsid w:val="002F57BC"/>
    <w:rsid w:val="002F5A46"/>
    <w:rsid w:val="00300D59"/>
    <w:rsid w:val="00303A6D"/>
    <w:rsid w:val="003072DC"/>
    <w:rsid w:val="00315F68"/>
    <w:rsid w:val="003169EE"/>
    <w:rsid w:val="00361A1E"/>
    <w:rsid w:val="0037115D"/>
    <w:rsid w:val="003714C4"/>
    <w:rsid w:val="0037452B"/>
    <w:rsid w:val="00377555"/>
    <w:rsid w:val="003842FC"/>
    <w:rsid w:val="00392901"/>
    <w:rsid w:val="003A47CC"/>
    <w:rsid w:val="003A6D1E"/>
    <w:rsid w:val="003C1A17"/>
    <w:rsid w:val="003C41AD"/>
    <w:rsid w:val="003C57EB"/>
    <w:rsid w:val="003D7B0A"/>
    <w:rsid w:val="003E1BE9"/>
    <w:rsid w:val="003E519C"/>
    <w:rsid w:val="00406F4B"/>
    <w:rsid w:val="00414122"/>
    <w:rsid w:val="004141EB"/>
    <w:rsid w:val="004176E6"/>
    <w:rsid w:val="0045536A"/>
    <w:rsid w:val="00462D10"/>
    <w:rsid w:val="004662A4"/>
    <w:rsid w:val="0047228B"/>
    <w:rsid w:val="004729A0"/>
    <w:rsid w:val="00475416"/>
    <w:rsid w:val="00475DEA"/>
    <w:rsid w:val="00477F08"/>
    <w:rsid w:val="00482B52"/>
    <w:rsid w:val="00485002"/>
    <w:rsid w:val="00495953"/>
    <w:rsid w:val="004A3186"/>
    <w:rsid w:val="004B174F"/>
    <w:rsid w:val="004D3FFB"/>
    <w:rsid w:val="004E4D43"/>
    <w:rsid w:val="004E746C"/>
    <w:rsid w:val="004E7A2E"/>
    <w:rsid w:val="00505648"/>
    <w:rsid w:val="00505652"/>
    <w:rsid w:val="00505E7F"/>
    <w:rsid w:val="00507DE5"/>
    <w:rsid w:val="00520E2F"/>
    <w:rsid w:val="005303E9"/>
    <w:rsid w:val="00533B19"/>
    <w:rsid w:val="005400CA"/>
    <w:rsid w:val="00544FBA"/>
    <w:rsid w:val="00555A72"/>
    <w:rsid w:val="00565D79"/>
    <w:rsid w:val="0056700B"/>
    <w:rsid w:val="00581C8E"/>
    <w:rsid w:val="00586AAC"/>
    <w:rsid w:val="005926DA"/>
    <w:rsid w:val="0059608B"/>
    <w:rsid w:val="005A1987"/>
    <w:rsid w:val="005A7CD4"/>
    <w:rsid w:val="005B03EB"/>
    <w:rsid w:val="005B05C1"/>
    <w:rsid w:val="005B0D67"/>
    <w:rsid w:val="005C5AD6"/>
    <w:rsid w:val="005D1B28"/>
    <w:rsid w:val="005D25D7"/>
    <w:rsid w:val="005D6E17"/>
    <w:rsid w:val="005E3A3B"/>
    <w:rsid w:val="005F4544"/>
    <w:rsid w:val="005F5523"/>
    <w:rsid w:val="00605275"/>
    <w:rsid w:val="0062219C"/>
    <w:rsid w:val="0063761F"/>
    <w:rsid w:val="006435C8"/>
    <w:rsid w:val="006579AB"/>
    <w:rsid w:val="00657C0C"/>
    <w:rsid w:val="00657EE0"/>
    <w:rsid w:val="006763BE"/>
    <w:rsid w:val="00677408"/>
    <w:rsid w:val="00691102"/>
    <w:rsid w:val="006A0646"/>
    <w:rsid w:val="006A74E3"/>
    <w:rsid w:val="006D1C9B"/>
    <w:rsid w:val="006D776C"/>
    <w:rsid w:val="006E030B"/>
    <w:rsid w:val="006E1AC1"/>
    <w:rsid w:val="006E4993"/>
    <w:rsid w:val="006F77B5"/>
    <w:rsid w:val="00702B87"/>
    <w:rsid w:val="00714C35"/>
    <w:rsid w:val="007265D6"/>
    <w:rsid w:val="0073063B"/>
    <w:rsid w:val="007414A5"/>
    <w:rsid w:val="007467CD"/>
    <w:rsid w:val="00756C8E"/>
    <w:rsid w:val="007714FB"/>
    <w:rsid w:val="007757A4"/>
    <w:rsid w:val="007B3082"/>
    <w:rsid w:val="007B367E"/>
    <w:rsid w:val="007C2CCE"/>
    <w:rsid w:val="007C41FF"/>
    <w:rsid w:val="007C493E"/>
    <w:rsid w:val="007D6516"/>
    <w:rsid w:val="007E2E61"/>
    <w:rsid w:val="007E550C"/>
    <w:rsid w:val="007E68D9"/>
    <w:rsid w:val="007F093D"/>
    <w:rsid w:val="007F5267"/>
    <w:rsid w:val="007F7E99"/>
    <w:rsid w:val="00800F36"/>
    <w:rsid w:val="008049C7"/>
    <w:rsid w:val="00816401"/>
    <w:rsid w:val="00822150"/>
    <w:rsid w:val="00831E2F"/>
    <w:rsid w:val="0083791D"/>
    <w:rsid w:val="00842D66"/>
    <w:rsid w:val="00843356"/>
    <w:rsid w:val="00844464"/>
    <w:rsid w:val="0084745F"/>
    <w:rsid w:val="00886CE4"/>
    <w:rsid w:val="00890A12"/>
    <w:rsid w:val="00897CED"/>
    <w:rsid w:val="008B57D7"/>
    <w:rsid w:val="008B796D"/>
    <w:rsid w:val="008C5AF8"/>
    <w:rsid w:val="008E011A"/>
    <w:rsid w:val="008E0AE4"/>
    <w:rsid w:val="009047B7"/>
    <w:rsid w:val="009053D5"/>
    <w:rsid w:val="009176AF"/>
    <w:rsid w:val="0092720C"/>
    <w:rsid w:val="00943FBB"/>
    <w:rsid w:val="00950C25"/>
    <w:rsid w:val="0096046C"/>
    <w:rsid w:val="00964365"/>
    <w:rsid w:val="009679BE"/>
    <w:rsid w:val="00976566"/>
    <w:rsid w:val="00996A69"/>
    <w:rsid w:val="009C24C1"/>
    <w:rsid w:val="009D1A35"/>
    <w:rsid w:val="009D1F67"/>
    <w:rsid w:val="009E025E"/>
    <w:rsid w:val="009E34EB"/>
    <w:rsid w:val="009E3D3A"/>
    <w:rsid w:val="009F6059"/>
    <w:rsid w:val="00A0633A"/>
    <w:rsid w:val="00A223A9"/>
    <w:rsid w:val="00A233E0"/>
    <w:rsid w:val="00A245E7"/>
    <w:rsid w:val="00A3149F"/>
    <w:rsid w:val="00A33130"/>
    <w:rsid w:val="00A336E2"/>
    <w:rsid w:val="00A5414B"/>
    <w:rsid w:val="00A6371F"/>
    <w:rsid w:val="00A64394"/>
    <w:rsid w:val="00A7041B"/>
    <w:rsid w:val="00A8036D"/>
    <w:rsid w:val="00A835CD"/>
    <w:rsid w:val="00A85318"/>
    <w:rsid w:val="00A934F4"/>
    <w:rsid w:val="00AA0110"/>
    <w:rsid w:val="00AA6CC4"/>
    <w:rsid w:val="00AB0F3E"/>
    <w:rsid w:val="00AB51D4"/>
    <w:rsid w:val="00AB6DD5"/>
    <w:rsid w:val="00AB712B"/>
    <w:rsid w:val="00AC0F6C"/>
    <w:rsid w:val="00AD2681"/>
    <w:rsid w:val="00AD7520"/>
    <w:rsid w:val="00AE1449"/>
    <w:rsid w:val="00AE3DD0"/>
    <w:rsid w:val="00AE7611"/>
    <w:rsid w:val="00AF24D1"/>
    <w:rsid w:val="00AF6920"/>
    <w:rsid w:val="00B16C12"/>
    <w:rsid w:val="00B2073D"/>
    <w:rsid w:val="00B33DAD"/>
    <w:rsid w:val="00B36D62"/>
    <w:rsid w:val="00B5606B"/>
    <w:rsid w:val="00B56458"/>
    <w:rsid w:val="00B66D93"/>
    <w:rsid w:val="00B93C2C"/>
    <w:rsid w:val="00B975F8"/>
    <w:rsid w:val="00BA3E38"/>
    <w:rsid w:val="00BB49D9"/>
    <w:rsid w:val="00BB705F"/>
    <w:rsid w:val="00BC6A91"/>
    <w:rsid w:val="00BC7BC1"/>
    <w:rsid w:val="00BD01D2"/>
    <w:rsid w:val="00BD2959"/>
    <w:rsid w:val="00BE2252"/>
    <w:rsid w:val="00BF47C8"/>
    <w:rsid w:val="00C06196"/>
    <w:rsid w:val="00C251E2"/>
    <w:rsid w:val="00C264ED"/>
    <w:rsid w:val="00C31D07"/>
    <w:rsid w:val="00C34B9B"/>
    <w:rsid w:val="00C35204"/>
    <w:rsid w:val="00C420B3"/>
    <w:rsid w:val="00C46C45"/>
    <w:rsid w:val="00C5378C"/>
    <w:rsid w:val="00C53D41"/>
    <w:rsid w:val="00C54A2C"/>
    <w:rsid w:val="00C559F4"/>
    <w:rsid w:val="00C70F03"/>
    <w:rsid w:val="00C70F22"/>
    <w:rsid w:val="00C771E6"/>
    <w:rsid w:val="00C85A33"/>
    <w:rsid w:val="00C86133"/>
    <w:rsid w:val="00C90987"/>
    <w:rsid w:val="00C9679C"/>
    <w:rsid w:val="00CA63DD"/>
    <w:rsid w:val="00CC7AA5"/>
    <w:rsid w:val="00CD5BCD"/>
    <w:rsid w:val="00CD6FB1"/>
    <w:rsid w:val="00CF1BAE"/>
    <w:rsid w:val="00CF6A34"/>
    <w:rsid w:val="00CF7865"/>
    <w:rsid w:val="00D00D76"/>
    <w:rsid w:val="00D059BD"/>
    <w:rsid w:val="00D11CA3"/>
    <w:rsid w:val="00D12E8E"/>
    <w:rsid w:val="00D22DBA"/>
    <w:rsid w:val="00D23FE4"/>
    <w:rsid w:val="00D2401B"/>
    <w:rsid w:val="00D2592C"/>
    <w:rsid w:val="00D31547"/>
    <w:rsid w:val="00D4231F"/>
    <w:rsid w:val="00D42BFF"/>
    <w:rsid w:val="00D464B8"/>
    <w:rsid w:val="00D50799"/>
    <w:rsid w:val="00D54281"/>
    <w:rsid w:val="00D56E42"/>
    <w:rsid w:val="00D71565"/>
    <w:rsid w:val="00D7697A"/>
    <w:rsid w:val="00D77BD4"/>
    <w:rsid w:val="00D87117"/>
    <w:rsid w:val="00D87694"/>
    <w:rsid w:val="00D93B7D"/>
    <w:rsid w:val="00D93CC1"/>
    <w:rsid w:val="00DA339C"/>
    <w:rsid w:val="00DB5099"/>
    <w:rsid w:val="00DC475D"/>
    <w:rsid w:val="00DE54D0"/>
    <w:rsid w:val="00DF49EC"/>
    <w:rsid w:val="00DF6BCA"/>
    <w:rsid w:val="00E0592C"/>
    <w:rsid w:val="00E05979"/>
    <w:rsid w:val="00E07550"/>
    <w:rsid w:val="00E1155B"/>
    <w:rsid w:val="00E13686"/>
    <w:rsid w:val="00E15570"/>
    <w:rsid w:val="00E20897"/>
    <w:rsid w:val="00E306E6"/>
    <w:rsid w:val="00E34227"/>
    <w:rsid w:val="00E47C14"/>
    <w:rsid w:val="00E618C8"/>
    <w:rsid w:val="00E70740"/>
    <w:rsid w:val="00E746ED"/>
    <w:rsid w:val="00EA0459"/>
    <w:rsid w:val="00EA162F"/>
    <w:rsid w:val="00EB10B7"/>
    <w:rsid w:val="00EC7215"/>
    <w:rsid w:val="00EF0083"/>
    <w:rsid w:val="00EF1759"/>
    <w:rsid w:val="00EF7329"/>
    <w:rsid w:val="00EF7DC9"/>
    <w:rsid w:val="00F05C2C"/>
    <w:rsid w:val="00F06EB1"/>
    <w:rsid w:val="00F10179"/>
    <w:rsid w:val="00F405CE"/>
    <w:rsid w:val="00F46E3F"/>
    <w:rsid w:val="00F47077"/>
    <w:rsid w:val="00F47C41"/>
    <w:rsid w:val="00F74468"/>
    <w:rsid w:val="00F81B20"/>
    <w:rsid w:val="00F81B5A"/>
    <w:rsid w:val="00F879DD"/>
    <w:rsid w:val="00F9113C"/>
    <w:rsid w:val="00F9276B"/>
    <w:rsid w:val="00FA7DA3"/>
    <w:rsid w:val="00FB4822"/>
    <w:rsid w:val="00FC4713"/>
    <w:rsid w:val="00FD0FF2"/>
    <w:rsid w:val="00FD3AE5"/>
    <w:rsid w:val="00FF5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27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E08"/>
    <w:rPr>
      <w:lang w:val="cs-CZ" w:eastAsia="cs-CZ"/>
    </w:rPr>
  </w:style>
  <w:style w:type="paragraph" w:styleId="Heading1">
    <w:name w:val="heading 1"/>
    <w:aliases w:val="ZE1"/>
    <w:basedOn w:val="Normlntext-odstavec"/>
    <w:next w:val="Normlntext-odstavec"/>
    <w:qFormat/>
    <w:rsid w:val="00DC475D"/>
    <w:pPr>
      <w:keepNext/>
      <w:keepLines/>
      <w:suppressAutoHyphens/>
      <w:spacing w:before="360"/>
      <w:ind w:firstLine="0"/>
      <w:jc w:val="center"/>
      <w:outlineLvl w:val="0"/>
    </w:pPr>
    <w:rPr>
      <w:b/>
      <w:kern w:val="28"/>
      <w:sz w:val="20"/>
      <w:lang w:val="en-US"/>
    </w:rPr>
  </w:style>
  <w:style w:type="paragraph" w:styleId="Heading2">
    <w:name w:val="heading 2"/>
    <w:aliases w:val="ZE2"/>
    <w:basedOn w:val="Normlntext-odstavec"/>
    <w:next w:val="Normlntext-odstavec"/>
    <w:qFormat/>
    <w:rsid w:val="00DC475D"/>
    <w:pPr>
      <w:keepNext/>
      <w:spacing w:before="240" w:after="60"/>
      <w:ind w:firstLine="0"/>
      <w:outlineLvl w:val="1"/>
    </w:pPr>
    <w:rPr>
      <w:b/>
      <w:i/>
    </w:rPr>
  </w:style>
  <w:style w:type="paragraph" w:styleId="Heading3">
    <w:name w:val="heading 3"/>
    <w:aliases w:val="DPS3,ZE3"/>
    <w:basedOn w:val="Normlntext-odstavec"/>
    <w:next w:val="Normlntext-odstavec"/>
    <w:qFormat/>
    <w:rsid w:val="00DC475D"/>
    <w:pPr>
      <w:keepNext/>
      <w:spacing w:before="240" w:after="60"/>
      <w:ind w:firstLine="0"/>
      <w:outlineLvl w:val="2"/>
    </w:pPr>
  </w:style>
  <w:style w:type="paragraph" w:styleId="Heading4">
    <w:name w:val="heading 4"/>
    <w:basedOn w:val="Normlntext-odstavec"/>
    <w:next w:val="Normlntext-odstavec"/>
    <w:qFormat/>
    <w:rsid w:val="00172E08"/>
    <w:pPr>
      <w:keepNext/>
      <w:jc w:val="center"/>
      <w:outlineLvl w:val="3"/>
    </w:pPr>
    <w:rPr>
      <w:b/>
      <w:spacing w:val="20"/>
      <w:sz w:val="14"/>
    </w:rPr>
  </w:style>
  <w:style w:type="paragraph" w:styleId="Heading5">
    <w:name w:val="heading 5"/>
    <w:basedOn w:val="Normlntext-odstavec"/>
    <w:next w:val="Normlntext-odstavec"/>
    <w:qFormat/>
    <w:rsid w:val="00172E08"/>
    <w:pPr>
      <w:keepNext/>
      <w:jc w:val="center"/>
      <w:outlineLvl w:val="4"/>
    </w:pPr>
    <w:rPr>
      <w:i/>
      <w:sz w:val="14"/>
    </w:rPr>
  </w:style>
  <w:style w:type="paragraph" w:styleId="Heading6">
    <w:name w:val="heading 6"/>
    <w:basedOn w:val="Normal"/>
    <w:next w:val="Normal"/>
    <w:qFormat/>
    <w:rsid w:val="00172E08"/>
    <w:pPr>
      <w:spacing w:before="240" w:after="60"/>
      <w:outlineLvl w:val="5"/>
    </w:pPr>
    <w:rPr>
      <w:i/>
      <w:sz w:val="22"/>
    </w:rPr>
  </w:style>
  <w:style w:type="paragraph" w:styleId="Heading7">
    <w:name w:val="heading 7"/>
    <w:basedOn w:val="Normal"/>
    <w:next w:val="Normal"/>
    <w:qFormat/>
    <w:rsid w:val="00172E08"/>
    <w:pPr>
      <w:spacing w:before="240" w:after="60"/>
      <w:outlineLvl w:val="6"/>
    </w:pPr>
    <w:rPr>
      <w:rFonts w:ascii="Arial" w:hAnsi="Arial"/>
      <w:sz w:val="24"/>
    </w:rPr>
  </w:style>
  <w:style w:type="paragraph" w:styleId="Heading8">
    <w:name w:val="heading 8"/>
    <w:basedOn w:val="Normal"/>
    <w:next w:val="Normal"/>
    <w:qFormat/>
    <w:rsid w:val="00172E08"/>
    <w:pPr>
      <w:spacing w:before="240" w:after="60"/>
      <w:outlineLvl w:val="7"/>
    </w:pPr>
    <w:rPr>
      <w:rFonts w:ascii="Arial" w:hAnsi="Arial"/>
      <w:i/>
      <w:sz w:val="24"/>
    </w:rPr>
  </w:style>
  <w:style w:type="paragraph" w:styleId="Heading9">
    <w:name w:val="heading 9"/>
    <w:basedOn w:val="Normal"/>
    <w:next w:val="Normal"/>
    <w:qFormat/>
    <w:rsid w:val="00172E0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ntext-odstavec">
    <w:name w:val="Normální.text-odstavec"/>
    <w:rsid w:val="00172E08"/>
    <w:pPr>
      <w:spacing w:before="40" w:after="40" w:line="288" w:lineRule="auto"/>
      <w:ind w:firstLine="425"/>
      <w:jc w:val="both"/>
    </w:pPr>
    <w:rPr>
      <w:rFonts w:ascii="Arial" w:hAnsi="Arial"/>
      <w:sz w:val="16"/>
      <w:lang w:val="cs-CZ" w:eastAsia="cs-CZ"/>
    </w:rPr>
  </w:style>
  <w:style w:type="paragraph" w:styleId="Header">
    <w:name w:val="header"/>
    <w:basedOn w:val="Normlntext-odstavec"/>
    <w:rsid w:val="00172E08"/>
    <w:pPr>
      <w:tabs>
        <w:tab w:val="center" w:pos="4536"/>
        <w:tab w:val="right" w:pos="9072"/>
      </w:tabs>
    </w:pPr>
  </w:style>
  <w:style w:type="character" w:styleId="PageNumber">
    <w:name w:val="page number"/>
    <w:basedOn w:val="DefaultParagraphFont"/>
    <w:rsid w:val="00172E08"/>
  </w:style>
  <w:style w:type="paragraph" w:customStyle="1" w:styleId="Obrzek-Tabulka">
    <w:name w:val="Obrázek-Tabulka"/>
    <w:basedOn w:val="Normlntext-odstavec"/>
    <w:rsid w:val="00172E08"/>
    <w:pPr>
      <w:tabs>
        <w:tab w:val="left" w:pos="-2552"/>
      </w:tabs>
      <w:spacing w:line="360" w:lineRule="auto"/>
      <w:ind w:firstLine="0"/>
      <w:jc w:val="center"/>
    </w:pPr>
    <w:rPr>
      <w:b/>
      <w:i/>
    </w:rPr>
  </w:style>
  <w:style w:type="paragraph" w:customStyle="1" w:styleId="Nadpis3">
    <w:name w:val="Nadpis3"/>
    <w:basedOn w:val="Normlntext-odstavec"/>
    <w:rsid w:val="00172E08"/>
    <w:pPr>
      <w:jc w:val="center"/>
    </w:pPr>
    <w:rPr>
      <w:b/>
      <w:i/>
    </w:rPr>
  </w:style>
  <w:style w:type="paragraph" w:customStyle="1" w:styleId="Titke2">
    <w:name w:val="Titke2"/>
    <w:basedOn w:val="Heading1"/>
    <w:rsid w:val="00DC475D"/>
    <w:pPr>
      <w:numPr>
        <w:numId w:val="1"/>
      </w:numPr>
      <w:spacing w:before="240" w:after="120" w:line="240" w:lineRule="auto"/>
      <w:jc w:val="both"/>
    </w:pPr>
    <w:rPr>
      <w:rFonts w:ascii="Times New Roman" w:hAnsi="Times New Roman"/>
      <w:bCs/>
      <w:sz w:val="22"/>
    </w:rPr>
  </w:style>
  <w:style w:type="paragraph" w:customStyle="1" w:styleId="SVT-nadpis1">
    <w:name w:val="SVT-nadpis1"/>
    <w:basedOn w:val="Obrzek-Tabulka"/>
    <w:next w:val="Obrzek-Tabulka"/>
    <w:rsid w:val="00172E08"/>
    <w:pPr>
      <w:keepNext/>
      <w:spacing w:before="240" w:after="60"/>
    </w:pPr>
    <w:rPr>
      <w:b w:val="0"/>
    </w:rPr>
  </w:style>
  <w:style w:type="paragraph" w:styleId="FootnoteText">
    <w:name w:val="footnote text"/>
    <w:basedOn w:val="Normlntext-odstavec"/>
    <w:link w:val="FootnoteTextChar"/>
    <w:rsid w:val="00172E08"/>
    <w:rPr>
      <w:rFonts w:ascii="Times New Roman" w:hAnsi="Times New Roman"/>
      <w:i/>
    </w:rPr>
  </w:style>
  <w:style w:type="paragraph" w:customStyle="1" w:styleId="Text-Literatura">
    <w:name w:val="Text-Literatura"/>
    <w:basedOn w:val="Normlntext-odstavec"/>
    <w:rsid w:val="00172E08"/>
    <w:rPr>
      <w:sz w:val="14"/>
    </w:rPr>
  </w:style>
  <w:style w:type="paragraph" w:styleId="Footer">
    <w:name w:val="footer"/>
    <w:basedOn w:val="Normlntext-odstavec"/>
    <w:rsid w:val="00172E08"/>
    <w:pPr>
      <w:tabs>
        <w:tab w:val="center" w:pos="4536"/>
        <w:tab w:val="right" w:pos="9072"/>
      </w:tabs>
    </w:pPr>
  </w:style>
  <w:style w:type="paragraph" w:customStyle="1" w:styleId="slovzorce">
    <w:name w:val="Èíslo vzorce"/>
    <w:basedOn w:val="Normlntext-odstavec"/>
    <w:rsid w:val="00172E08"/>
    <w:pPr>
      <w:jc w:val="right"/>
    </w:pPr>
    <w:rPr>
      <w:b/>
    </w:rPr>
  </w:style>
  <w:style w:type="character" w:styleId="FootnoteReference">
    <w:name w:val="footnote reference"/>
    <w:basedOn w:val="DefaultParagraphFont"/>
    <w:rsid w:val="00172E08"/>
    <w:rPr>
      <w:vertAlign w:val="superscript"/>
    </w:rPr>
  </w:style>
  <w:style w:type="paragraph" w:customStyle="1" w:styleId="Seznamliteratury">
    <w:name w:val="Seznam literatury"/>
    <w:basedOn w:val="Normlntext-odstavec"/>
    <w:rsid w:val="00172E08"/>
    <w:pPr>
      <w:spacing w:after="60" w:line="240" w:lineRule="auto"/>
      <w:ind w:left="567" w:hanging="567"/>
    </w:pPr>
    <w:rPr>
      <w:rFonts w:ascii="Times New Roman" w:hAnsi="Times New Roman"/>
      <w:sz w:val="22"/>
    </w:rPr>
  </w:style>
  <w:style w:type="paragraph" w:customStyle="1" w:styleId="Text-literatura0">
    <w:name w:val="Text-literatura"/>
    <w:basedOn w:val="Normlntext-odstavec"/>
    <w:rsid w:val="00172E08"/>
    <w:pPr>
      <w:tabs>
        <w:tab w:val="left" w:pos="284"/>
      </w:tabs>
      <w:spacing w:before="0" w:after="0" w:line="240" w:lineRule="auto"/>
      <w:ind w:left="284" w:hanging="284"/>
    </w:pPr>
    <w:rPr>
      <w:lang w:val="sk-SK"/>
    </w:rPr>
  </w:style>
  <w:style w:type="paragraph" w:styleId="Caption">
    <w:name w:val="caption"/>
    <w:basedOn w:val="Normal"/>
    <w:next w:val="Normal"/>
    <w:qFormat/>
    <w:rsid w:val="00172E08"/>
    <w:pPr>
      <w:widowControl w:val="0"/>
      <w:spacing w:before="120" w:after="120"/>
    </w:pPr>
    <w:rPr>
      <w:b/>
    </w:rPr>
  </w:style>
  <w:style w:type="paragraph" w:styleId="BodyText">
    <w:name w:val="Body Text"/>
    <w:basedOn w:val="Normal"/>
    <w:rsid w:val="00172E08"/>
    <w:pPr>
      <w:spacing w:after="120"/>
      <w:jc w:val="both"/>
    </w:pPr>
  </w:style>
  <w:style w:type="paragraph" w:customStyle="1" w:styleId="SVT-nadpis1sslovnm">
    <w:name w:val="SVT-nadpis1 s číslováním"/>
    <w:basedOn w:val="SVT-nadpis1"/>
    <w:next w:val="SVP-text"/>
    <w:rsid w:val="00172E08"/>
    <w:pPr>
      <w:numPr>
        <w:numId w:val="3"/>
      </w:numPr>
      <w:tabs>
        <w:tab w:val="clear" w:pos="-2552"/>
      </w:tabs>
      <w:spacing w:line="288" w:lineRule="auto"/>
    </w:pPr>
    <w:rPr>
      <w:i w:val="0"/>
      <w:sz w:val="20"/>
    </w:rPr>
  </w:style>
  <w:style w:type="paragraph" w:customStyle="1" w:styleId="SVP-text">
    <w:name w:val="SVP-text"/>
    <w:basedOn w:val="Normal"/>
    <w:rsid w:val="00172E08"/>
    <w:pPr>
      <w:spacing w:before="40" w:after="40" w:line="288" w:lineRule="auto"/>
      <w:ind w:firstLine="567"/>
      <w:jc w:val="both"/>
    </w:pPr>
    <w:rPr>
      <w:rFonts w:ascii="Arial" w:hAnsi="Arial"/>
    </w:rPr>
  </w:style>
  <w:style w:type="paragraph" w:customStyle="1" w:styleId="Nzevpspvku">
    <w:name w:val="Název příspěvku"/>
    <w:basedOn w:val="Heading1"/>
    <w:rsid w:val="00172E08"/>
    <w:pPr>
      <w:spacing w:before="840"/>
    </w:pPr>
  </w:style>
  <w:style w:type="paragraph" w:customStyle="1" w:styleId="odrky">
    <w:name w:val="odrážky"/>
    <w:basedOn w:val="Normlntext-odstavec"/>
    <w:rsid w:val="00172E08"/>
    <w:pPr>
      <w:numPr>
        <w:numId w:val="2"/>
      </w:numPr>
      <w:tabs>
        <w:tab w:val="clear" w:pos="360"/>
        <w:tab w:val="num" w:pos="785"/>
      </w:tabs>
      <w:spacing w:line="240" w:lineRule="auto"/>
      <w:ind w:left="782" w:hanging="357"/>
    </w:pPr>
  </w:style>
  <w:style w:type="paragraph" w:customStyle="1" w:styleId="SVP-vysvtlivkyvzorce">
    <w:name w:val="SVP-vysvětlivky vzorce"/>
    <w:basedOn w:val="SVP-text"/>
    <w:next w:val="SVP-text"/>
    <w:rsid w:val="00172E08"/>
    <w:pPr>
      <w:tabs>
        <w:tab w:val="left" w:leader="dot" w:pos="3686"/>
      </w:tabs>
      <w:spacing w:line="240" w:lineRule="auto"/>
      <w:ind w:left="3771" w:hanging="2637"/>
    </w:pPr>
    <w:rPr>
      <w:sz w:val="16"/>
    </w:rPr>
  </w:style>
  <w:style w:type="paragraph" w:customStyle="1" w:styleId="SVP-vzorec">
    <w:name w:val="SVP-vzorec"/>
    <w:basedOn w:val="Normal"/>
    <w:rsid w:val="00172E08"/>
    <w:pPr>
      <w:tabs>
        <w:tab w:val="center" w:pos="3686"/>
        <w:tab w:val="left" w:pos="7371"/>
      </w:tabs>
      <w:spacing w:line="288" w:lineRule="auto"/>
    </w:pPr>
    <w:rPr>
      <w:rFonts w:ascii="Arial" w:hAnsi="Arial"/>
    </w:rPr>
  </w:style>
  <w:style w:type="paragraph" w:styleId="BodyText2">
    <w:name w:val="Body Text 2"/>
    <w:basedOn w:val="Normal"/>
    <w:rsid w:val="00172E08"/>
    <w:rPr>
      <w:i/>
      <w:sz w:val="24"/>
    </w:rPr>
  </w:style>
  <w:style w:type="paragraph" w:customStyle="1" w:styleId="vzorec">
    <w:name w:val="vzorec"/>
    <w:basedOn w:val="SVP-vzorec"/>
    <w:rsid w:val="00172E08"/>
    <w:pPr>
      <w:tabs>
        <w:tab w:val="clear" w:pos="3686"/>
        <w:tab w:val="clear" w:pos="7371"/>
        <w:tab w:val="left" w:pos="-1701"/>
        <w:tab w:val="center" w:pos="3402"/>
        <w:tab w:val="right" w:pos="6663"/>
      </w:tabs>
      <w:ind w:right="27"/>
    </w:pPr>
    <w:rPr>
      <w:sz w:val="16"/>
    </w:rPr>
  </w:style>
  <w:style w:type="paragraph" w:styleId="BlockText">
    <w:name w:val="Block Text"/>
    <w:basedOn w:val="Normal"/>
    <w:rsid w:val="00172E08"/>
    <w:pPr>
      <w:spacing w:line="312" w:lineRule="auto"/>
      <w:ind w:firstLine="709"/>
      <w:jc w:val="both"/>
    </w:pPr>
    <w:rPr>
      <w:sz w:val="24"/>
    </w:rPr>
  </w:style>
  <w:style w:type="paragraph" w:styleId="ListBullet">
    <w:name w:val="List Bullet"/>
    <w:basedOn w:val="Normal"/>
    <w:autoRedefine/>
    <w:rsid w:val="00172E08"/>
    <w:pPr>
      <w:numPr>
        <w:numId w:val="4"/>
      </w:numPr>
      <w:spacing w:line="312" w:lineRule="auto"/>
      <w:ind w:left="357" w:hanging="357"/>
      <w:jc w:val="both"/>
    </w:pPr>
    <w:rPr>
      <w:sz w:val="24"/>
    </w:rPr>
  </w:style>
  <w:style w:type="paragraph" w:styleId="BodyTextIndent">
    <w:name w:val="Body Text Indent"/>
    <w:basedOn w:val="Normal"/>
    <w:rsid w:val="00172E08"/>
    <w:pPr>
      <w:ind w:left="397" w:hanging="397"/>
      <w:jc w:val="both"/>
    </w:pPr>
    <w:rPr>
      <w:sz w:val="24"/>
    </w:rPr>
  </w:style>
  <w:style w:type="paragraph" w:customStyle="1" w:styleId="Address">
    <w:name w:val="Address"/>
    <w:basedOn w:val="FootnoteText"/>
    <w:rsid w:val="00172E08"/>
    <w:rPr>
      <w:i w:val="0"/>
      <w:lang w:val="en-GB"/>
    </w:rPr>
  </w:style>
  <w:style w:type="paragraph" w:customStyle="1" w:styleId="abstractkeywords">
    <w:name w:val="abstract+keywords"/>
    <w:basedOn w:val="Normlntext-odstavec"/>
    <w:rsid w:val="00CF1BAE"/>
    <w:pPr>
      <w:spacing w:line="240" w:lineRule="auto"/>
      <w:ind w:firstLine="0"/>
    </w:pPr>
    <w:rPr>
      <w:rFonts w:ascii="Times New Roman" w:hAnsi="Times New Roman"/>
      <w:bCs/>
      <w:sz w:val="20"/>
    </w:rPr>
  </w:style>
  <w:style w:type="paragraph" w:customStyle="1" w:styleId="Section">
    <w:name w:val="Section"/>
    <w:basedOn w:val="Normlntext-odstavec"/>
    <w:rsid w:val="0006269E"/>
    <w:pPr>
      <w:spacing w:line="240" w:lineRule="auto"/>
    </w:pPr>
    <w:rPr>
      <w:rFonts w:ascii="Times New Roman" w:hAnsi="Times New Roman"/>
      <w:sz w:val="20"/>
    </w:rPr>
  </w:style>
  <w:style w:type="paragraph" w:customStyle="1" w:styleId="NormalFirst">
    <w:name w:val="NormalFirst"/>
    <w:basedOn w:val="Normal"/>
    <w:next w:val="Normal"/>
    <w:rsid w:val="00172E08"/>
    <w:pPr>
      <w:autoSpaceDE w:val="0"/>
      <w:autoSpaceDN w:val="0"/>
      <w:jc w:val="both"/>
    </w:pPr>
    <w:rPr>
      <w:lang w:val="en-GB"/>
    </w:rPr>
  </w:style>
  <w:style w:type="character" w:styleId="Hyperlink">
    <w:name w:val="Hyperlink"/>
    <w:basedOn w:val="DefaultParagraphFont"/>
    <w:rsid w:val="00172E08"/>
    <w:rPr>
      <w:color w:val="0000FF"/>
      <w:u w:val="single"/>
    </w:rPr>
  </w:style>
  <w:style w:type="character" w:customStyle="1" w:styleId="Normlntext-odstavecChar">
    <w:name w:val="Normální.text-odstavec Char"/>
    <w:basedOn w:val="DefaultParagraphFont"/>
    <w:rsid w:val="00172E08"/>
    <w:rPr>
      <w:rFonts w:ascii="Arial" w:hAnsi="Arial"/>
      <w:sz w:val="16"/>
      <w:lang w:val="cs-CZ" w:eastAsia="cs-CZ" w:bidi="ar-SA"/>
    </w:rPr>
  </w:style>
  <w:style w:type="paragraph" w:styleId="DocumentMap">
    <w:name w:val="Document Map"/>
    <w:basedOn w:val="Normal"/>
    <w:semiHidden/>
    <w:rsid w:val="00485002"/>
    <w:pPr>
      <w:shd w:val="clear" w:color="auto" w:fill="000080"/>
    </w:pPr>
    <w:rPr>
      <w:rFonts w:ascii="Tahoma" w:hAnsi="Tahoma" w:cs="Tahoma"/>
    </w:rPr>
  </w:style>
  <w:style w:type="paragraph" w:customStyle="1" w:styleId="Title1">
    <w:name w:val="Title1"/>
    <w:basedOn w:val="Nzevpspvku"/>
    <w:rsid w:val="001C4510"/>
    <w:pPr>
      <w:spacing w:before="480"/>
    </w:pPr>
    <w:rPr>
      <w:rFonts w:ascii="Times New Roman" w:hAnsi="Times New Roman"/>
      <w:bCs/>
      <w:sz w:val="24"/>
    </w:rPr>
  </w:style>
  <w:style w:type="paragraph" w:customStyle="1" w:styleId="Author">
    <w:name w:val="Author"/>
    <w:basedOn w:val="Normal"/>
    <w:rsid w:val="00172E08"/>
    <w:pPr>
      <w:keepNext/>
      <w:keepLines/>
      <w:suppressAutoHyphens/>
      <w:spacing w:before="240" w:after="240"/>
      <w:jc w:val="center"/>
    </w:pPr>
    <w:rPr>
      <w:b/>
      <w:bCs/>
      <w:noProof/>
    </w:rPr>
  </w:style>
  <w:style w:type="paragraph" w:customStyle="1" w:styleId="Sectionfirst">
    <w:name w:val="Sectionfirst"/>
    <w:basedOn w:val="Section"/>
    <w:rsid w:val="00CF1BAE"/>
    <w:pPr>
      <w:ind w:firstLine="0"/>
    </w:pPr>
  </w:style>
  <w:style w:type="character" w:customStyle="1" w:styleId="AuthorChar">
    <w:name w:val="Author Char"/>
    <w:basedOn w:val="DefaultParagraphFont"/>
    <w:rsid w:val="00172E08"/>
    <w:rPr>
      <w:b/>
      <w:bCs/>
      <w:noProof/>
      <w:lang w:val="cs-CZ" w:eastAsia="cs-CZ" w:bidi="ar-SA"/>
    </w:rPr>
  </w:style>
  <w:style w:type="paragraph" w:customStyle="1" w:styleId="BulletItem">
    <w:name w:val="Bullet Item"/>
    <w:basedOn w:val="Normal"/>
    <w:rsid w:val="00172E08"/>
    <w:pPr>
      <w:numPr>
        <w:numId w:val="9"/>
      </w:numPr>
      <w:tabs>
        <w:tab w:val="left" w:pos="227"/>
        <w:tab w:val="left" w:pos="454"/>
      </w:tabs>
      <w:autoSpaceDE w:val="0"/>
      <w:autoSpaceDN w:val="0"/>
      <w:spacing w:before="20" w:after="20"/>
    </w:pPr>
    <w:rPr>
      <w:lang w:val="en-US"/>
    </w:rPr>
  </w:style>
  <w:style w:type="paragraph" w:customStyle="1" w:styleId="References">
    <w:name w:val="References"/>
    <w:basedOn w:val="Normal"/>
    <w:next w:val="Reference"/>
    <w:rsid w:val="00172E08"/>
    <w:pPr>
      <w:keepNext/>
      <w:autoSpaceDE w:val="0"/>
      <w:autoSpaceDN w:val="0"/>
      <w:spacing w:before="480" w:after="180"/>
    </w:pPr>
    <w:rPr>
      <w:b/>
      <w:sz w:val="22"/>
      <w:lang w:val="en-US"/>
    </w:rPr>
  </w:style>
  <w:style w:type="paragraph" w:customStyle="1" w:styleId="Reference">
    <w:name w:val="Reference"/>
    <w:basedOn w:val="Normal"/>
    <w:rsid w:val="00172E08"/>
    <w:pPr>
      <w:numPr>
        <w:numId w:val="8"/>
      </w:numPr>
      <w:autoSpaceDE w:val="0"/>
      <w:autoSpaceDN w:val="0"/>
      <w:spacing w:after="40"/>
      <w:ind w:left="357" w:hanging="357"/>
      <w:jc w:val="both"/>
    </w:pPr>
    <w:rPr>
      <w:lang w:val="en-GB"/>
    </w:rPr>
  </w:style>
  <w:style w:type="paragraph" w:customStyle="1" w:styleId="Equation">
    <w:name w:val="Equation"/>
    <w:basedOn w:val="Normal"/>
    <w:rsid w:val="00172E08"/>
    <w:pPr>
      <w:autoSpaceDE w:val="0"/>
      <w:autoSpaceDN w:val="0"/>
      <w:spacing w:before="120" w:after="120"/>
      <w:ind w:firstLine="284"/>
      <w:jc w:val="right"/>
    </w:pPr>
    <w:rPr>
      <w:lang w:val="en-GB"/>
    </w:rPr>
  </w:style>
  <w:style w:type="paragraph" w:customStyle="1" w:styleId="Annotation">
    <w:name w:val="Annotation"/>
    <w:basedOn w:val="Normal"/>
    <w:rsid w:val="00172E08"/>
    <w:pPr>
      <w:autoSpaceDE w:val="0"/>
      <w:autoSpaceDN w:val="0"/>
      <w:jc w:val="both"/>
    </w:pPr>
    <w:rPr>
      <w:sz w:val="18"/>
    </w:rPr>
  </w:style>
  <w:style w:type="paragraph" w:customStyle="1" w:styleId="AnnotationTitle">
    <w:name w:val="AnnotationTitle"/>
    <w:basedOn w:val="Annotation"/>
    <w:next w:val="Annotation"/>
    <w:rsid w:val="00172E08"/>
    <w:pPr>
      <w:keepNext/>
      <w:spacing w:before="360"/>
      <w:jc w:val="left"/>
    </w:pPr>
    <w:rPr>
      <w:b/>
    </w:rPr>
  </w:style>
  <w:style w:type="paragraph" w:customStyle="1" w:styleId="Title3">
    <w:name w:val="Title3"/>
    <w:basedOn w:val="Heading2"/>
    <w:rsid w:val="00DC475D"/>
    <w:pPr>
      <w:numPr>
        <w:ilvl w:val="1"/>
        <w:numId w:val="1"/>
      </w:numPr>
      <w:spacing w:after="120" w:line="240" w:lineRule="auto"/>
    </w:pPr>
    <w:rPr>
      <w:rFonts w:ascii="Times New Roman" w:hAnsi="Times New Roman"/>
      <w:bCs/>
      <w:iCs/>
      <w:sz w:val="20"/>
    </w:rPr>
  </w:style>
  <w:style w:type="character" w:customStyle="1" w:styleId="TextpoznpodarouChar">
    <w:name w:val="Text pozn. pod čarou Char"/>
    <w:basedOn w:val="Normlntext-odstavecChar"/>
    <w:rsid w:val="00172E08"/>
    <w:rPr>
      <w:i/>
    </w:rPr>
  </w:style>
  <w:style w:type="character" w:customStyle="1" w:styleId="FootnoteTextChar">
    <w:name w:val="Footnote Text Char"/>
    <w:basedOn w:val="DefaultParagraphFont"/>
    <w:link w:val="FootnoteText"/>
    <w:rsid w:val="00AB6DD5"/>
    <w:rPr>
      <w:i/>
      <w:sz w:val="16"/>
      <w:lang w:val="cs-CZ" w:eastAsia="cs-CZ"/>
    </w:rPr>
  </w:style>
  <w:style w:type="paragraph" w:customStyle="1" w:styleId="Title4">
    <w:name w:val="Title4"/>
    <w:basedOn w:val="Heading3"/>
    <w:rsid w:val="00DC475D"/>
    <w:pPr>
      <w:numPr>
        <w:ilvl w:val="2"/>
        <w:numId w:val="1"/>
      </w:numPr>
    </w:pPr>
    <w:rPr>
      <w:rFonts w:ascii="Times New Roman" w:hAnsi="Times New Roman"/>
      <w:b/>
      <w:i/>
      <w:sz w:val="20"/>
    </w:rPr>
  </w:style>
  <w:style w:type="paragraph" w:customStyle="1" w:styleId="Literatura">
    <w:name w:val="Literatura"/>
    <w:basedOn w:val="Normal"/>
    <w:rsid w:val="00AB0F3E"/>
    <w:pPr>
      <w:widowControl w:val="0"/>
      <w:numPr>
        <w:numId w:val="16"/>
      </w:numPr>
      <w:tabs>
        <w:tab w:val="left" w:pos="0"/>
        <w:tab w:val="left" w:pos="399"/>
      </w:tabs>
      <w:autoSpaceDE w:val="0"/>
      <w:autoSpaceDN w:val="0"/>
      <w:adjustRightInd w:val="0"/>
      <w:jc w:val="both"/>
    </w:pPr>
    <w:rPr>
      <w:noProof/>
      <w:szCs w:val="22"/>
      <w:lang w:val="sr-Cyrl-CS" w:eastAsia="en-US"/>
    </w:rPr>
  </w:style>
  <w:style w:type="character" w:styleId="SubtleReference">
    <w:name w:val="Subtle Reference"/>
    <w:basedOn w:val="DefaultParagraphFont"/>
    <w:uiPriority w:val="31"/>
    <w:qFormat/>
    <w:rsid w:val="00F81B5A"/>
    <w:rPr>
      <w:smallCaps/>
      <w:color w:val="C0504D"/>
      <w:u w:val="single"/>
    </w:rPr>
  </w:style>
  <w:style w:type="character" w:styleId="IntenseReference">
    <w:name w:val="Intense Reference"/>
    <w:basedOn w:val="DefaultParagraphFont"/>
    <w:uiPriority w:val="32"/>
    <w:qFormat/>
    <w:rsid w:val="002B758F"/>
    <w:rPr>
      <w:b/>
      <w:bCs/>
      <w:color w:val="C0504D"/>
      <w:spacing w:val="5"/>
      <w:u w:val="single"/>
    </w:rPr>
  </w:style>
  <w:style w:type="paragraph" w:customStyle="1" w:styleId="CharCharCharCharCharCharCharCharChar">
    <w:name w:val="Char Char Char Char Char Char Char Char Char"/>
    <w:basedOn w:val="Normal"/>
    <w:autoRedefine/>
    <w:rsid w:val="00F81B5A"/>
    <w:pPr>
      <w:tabs>
        <w:tab w:val="left" w:pos="709"/>
      </w:tabs>
    </w:pPr>
    <w:rPr>
      <w:b/>
      <w:sz w:val="24"/>
      <w:szCs w:val="24"/>
      <w:lang w:val="pl-PL" w:eastAsia="pl-PL"/>
    </w:rPr>
  </w:style>
  <w:style w:type="character" w:styleId="CommentReference">
    <w:name w:val="annotation reference"/>
    <w:basedOn w:val="DefaultParagraphFont"/>
    <w:rsid w:val="007414A5"/>
    <w:rPr>
      <w:sz w:val="16"/>
      <w:szCs w:val="16"/>
    </w:rPr>
  </w:style>
  <w:style w:type="paragraph" w:styleId="CommentText">
    <w:name w:val="annotation text"/>
    <w:basedOn w:val="Normal"/>
    <w:link w:val="CommentTextChar"/>
    <w:rsid w:val="007414A5"/>
  </w:style>
  <w:style w:type="character" w:customStyle="1" w:styleId="CommentTextChar">
    <w:name w:val="Comment Text Char"/>
    <w:basedOn w:val="DefaultParagraphFont"/>
    <w:link w:val="CommentText"/>
    <w:rsid w:val="007414A5"/>
    <w:rPr>
      <w:lang w:val="cs-CZ" w:eastAsia="cs-CZ"/>
    </w:rPr>
  </w:style>
  <w:style w:type="paragraph" w:styleId="CommentSubject">
    <w:name w:val="annotation subject"/>
    <w:basedOn w:val="CommentText"/>
    <w:next w:val="CommentText"/>
    <w:link w:val="CommentSubjectChar"/>
    <w:rsid w:val="007414A5"/>
    <w:rPr>
      <w:b/>
      <w:bCs/>
    </w:rPr>
  </w:style>
  <w:style w:type="character" w:customStyle="1" w:styleId="CommentSubjectChar">
    <w:name w:val="Comment Subject Char"/>
    <w:basedOn w:val="CommentTextChar"/>
    <w:link w:val="CommentSubject"/>
    <w:rsid w:val="007414A5"/>
    <w:rPr>
      <w:b/>
      <w:bCs/>
    </w:rPr>
  </w:style>
  <w:style w:type="paragraph" w:styleId="BalloonText">
    <w:name w:val="Balloon Text"/>
    <w:basedOn w:val="Normal"/>
    <w:link w:val="BalloonTextChar"/>
    <w:rsid w:val="007414A5"/>
    <w:rPr>
      <w:rFonts w:ascii="Tahoma" w:hAnsi="Tahoma" w:cs="Tahoma"/>
      <w:sz w:val="16"/>
      <w:szCs w:val="16"/>
    </w:rPr>
  </w:style>
  <w:style w:type="character" w:customStyle="1" w:styleId="BalloonTextChar">
    <w:name w:val="Balloon Text Char"/>
    <w:basedOn w:val="DefaultParagraphFont"/>
    <w:link w:val="BalloonText"/>
    <w:rsid w:val="007414A5"/>
    <w:rPr>
      <w:rFonts w:ascii="Tahoma" w:hAnsi="Tahoma" w:cs="Tahoma"/>
      <w:sz w:val="16"/>
      <w:szCs w:val="16"/>
      <w:lang w:val="cs-CZ" w:eastAsia="cs-CZ"/>
    </w:rPr>
  </w:style>
  <w:style w:type="table" w:styleId="TableGrid">
    <w:name w:val="Table Grid"/>
    <w:basedOn w:val="TableNormal"/>
    <w:rsid w:val="00967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15570"/>
    <w:pPr>
      <w:ind w:left="720"/>
      <w:contextualSpacing/>
    </w:pPr>
  </w:style>
  <w:style w:type="paragraph" w:customStyle="1" w:styleId="Diplomskislike">
    <w:name w:val="Diplomski slike"/>
    <w:basedOn w:val="BalloonText"/>
    <w:autoRedefine/>
    <w:qFormat/>
    <w:rsid w:val="00C251E2"/>
    <w:pPr>
      <w:ind w:left="720"/>
      <w:jc w:val="center"/>
    </w:pPr>
    <w:rPr>
      <w:rFonts w:ascii="Times New Roman" w:hAnsi="Times New Roman"/>
      <w:noProof/>
      <w:sz w:val="20"/>
      <w:lang w:val="sr-Cyrl-CS" w:eastAsia="en-US"/>
    </w:rPr>
  </w:style>
  <w:style w:type="paragraph" w:styleId="Revision">
    <w:name w:val="Revision"/>
    <w:hidden/>
    <w:uiPriority w:val="99"/>
    <w:semiHidden/>
    <w:rsid w:val="00D00D76"/>
    <w:rPr>
      <w:lang w:val="cs-CZ" w:eastAsia="cs-CZ"/>
    </w:rPr>
  </w:style>
</w:styles>
</file>

<file path=word/webSettings.xml><?xml version="1.0" encoding="utf-8"?>
<w:webSettings xmlns:r="http://schemas.openxmlformats.org/officeDocument/2006/relationships" xmlns:w="http://schemas.openxmlformats.org/wordprocessingml/2006/main">
  <w:divs>
    <w:div w:id="18460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UG10AARH\sablona2003.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Pardubice\Materijal\pardubice_baz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127748708830752"/>
          <c:y val="5.5461042739543193E-2"/>
          <c:w val="0.73431750063500123"/>
          <c:h val="0.66192795282527817"/>
        </c:manualLayout>
      </c:layout>
      <c:bubbleChart>
        <c:ser>
          <c:idx val="0"/>
          <c:order val="0"/>
          <c:spPr>
            <a:ln w="28575">
              <a:noFill/>
            </a:ln>
          </c:spPr>
          <c:trendline>
            <c:trendlineType val="linear"/>
          </c:trendline>
          <c:xVal>
            <c:numRef>
              <c:f>[pardubice_baza.xls]railway_market!$AC$7:$AC$8,[pardubice_baza.xls]railway_market!$AC$11:$AC$14</c:f>
              <c:numCache>
                <c:formatCode>General</c:formatCode>
                <c:ptCount val="6"/>
                <c:pt idx="0">
                  <c:v>13.48</c:v>
                </c:pt>
                <c:pt idx="1">
                  <c:v>12.89</c:v>
                </c:pt>
                <c:pt idx="2">
                  <c:v>8.57</c:v>
                </c:pt>
                <c:pt idx="3">
                  <c:v>14.92</c:v>
                </c:pt>
                <c:pt idx="4">
                  <c:v>4.38</c:v>
                </c:pt>
                <c:pt idx="5">
                  <c:v>3.2800000000000002</c:v>
                </c:pt>
              </c:numCache>
            </c:numRef>
          </c:xVal>
          <c:yVal>
            <c:numRef>
              <c:f>[pardubice_baza.xls]railway_market!$J$7:$J$8,[pardubice_baza.xls]railway_market!$J$11:$J$14</c:f>
              <c:numCache>
                <c:formatCode>General</c:formatCode>
                <c:ptCount val="6"/>
                <c:pt idx="0">
                  <c:v>1.7600000000000011</c:v>
                </c:pt>
                <c:pt idx="1">
                  <c:v>1.7000000000000011</c:v>
                </c:pt>
                <c:pt idx="2">
                  <c:v>1.8</c:v>
                </c:pt>
                <c:pt idx="3">
                  <c:v>1.8800000000000001</c:v>
                </c:pt>
                <c:pt idx="4">
                  <c:v>1.1299999999999966</c:v>
                </c:pt>
                <c:pt idx="5">
                  <c:v>1.52</c:v>
                </c:pt>
              </c:numCache>
            </c:numRef>
          </c:yVal>
          <c:bubbleSize>
            <c:numLit>
              <c:formatCode>General</c:formatCode>
              <c:ptCount val="6"/>
              <c:pt idx="0">
                <c:v>1</c:v>
              </c:pt>
              <c:pt idx="1">
                <c:v>1</c:v>
              </c:pt>
              <c:pt idx="2">
                <c:v>1</c:v>
              </c:pt>
              <c:pt idx="3">
                <c:v>1</c:v>
              </c:pt>
              <c:pt idx="4">
                <c:v>1</c:v>
              </c:pt>
              <c:pt idx="5">
                <c:v>1</c:v>
              </c:pt>
            </c:numLit>
          </c:bubbleSize>
        </c:ser>
        <c:bubbleScale val="20"/>
        <c:sizeRepresents val="w"/>
        <c:axId val="120931072"/>
        <c:axId val="129287680"/>
      </c:bubbleChart>
      <c:valAx>
        <c:axId val="120931072"/>
        <c:scaling>
          <c:orientation val="minMax"/>
          <c:max val="16"/>
          <c:min val="0"/>
        </c:scaling>
        <c:axPos val="b"/>
        <c:title>
          <c:tx>
            <c:rich>
              <a:bodyPr/>
              <a:lstStyle/>
              <a:p>
                <a:pPr>
                  <a:defRPr/>
                </a:pPr>
                <a:r>
                  <a:rPr lang="en-US" sz="800" b="0"/>
                  <a:t>Intensity</a:t>
                </a:r>
                <a:r>
                  <a:rPr lang="en-US" sz="800" b="0" baseline="0"/>
                  <a:t> of use TU (000) per line km</a:t>
                </a:r>
                <a:endParaRPr lang="en-US" sz="800" b="0"/>
              </a:p>
            </c:rich>
          </c:tx>
        </c:title>
        <c:numFmt formatCode="General" sourceLinked="1"/>
        <c:tickLblPos val="nextTo"/>
        <c:txPr>
          <a:bodyPr/>
          <a:lstStyle/>
          <a:p>
            <a:pPr>
              <a:defRPr sz="800"/>
            </a:pPr>
            <a:endParaRPr lang="en-US"/>
          </a:p>
        </c:txPr>
        <c:crossAx val="129287680"/>
        <c:crosses val="autoZero"/>
        <c:crossBetween val="midCat"/>
        <c:majorUnit val="2"/>
      </c:valAx>
      <c:valAx>
        <c:axId val="129287680"/>
        <c:scaling>
          <c:orientation val="minMax"/>
          <c:max val="2"/>
          <c:min val="1"/>
        </c:scaling>
        <c:axPos val="l"/>
        <c:majorGridlines/>
        <c:title>
          <c:tx>
            <c:rich>
              <a:bodyPr rot="-5400000" vert="horz"/>
              <a:lstStyle/>
              <a:p>
                <a:pPr>
                  <a:defRPr/>
                </a:pPr>
                <a:r>
                  <a:rPr lang="en-US" sz="800" b="0"/>
                  <a:t>Network </a:t>
                </a:r>
                <a:r>
                  <a:rPr lang="en-US" sz="700" b="0"/>
                  <a:t>comlexity</a:t>
                </a:r>
                <a:r>
                  <a:rPr lang="en-US" sz="800" b="0"/>
                  <a:t> </a:t>
                </a:r>
                <a:r>
                  <a:rPr lang="sr-Latn-CS" sz="800" b="0"/>
                  <a:t>(</a:t>
                </a:r>
                <a:r>
                  <a:rPr lang="en-US" sz="800" b="0"/>
                  <a:t>track</a:t>
                </a:r>
                <a:r>
                  <a:rPr lang="sr-Latn-CS" sz="800" b="0"/>
                  <a:t> </a:t>
                </a:r>
                <a:r>
                  <a:rPr lang="en-US" sz="800" b="0"/>
                  <a:t>km per line km</a:t>
                </a:r>
                <a:r>
                  <a:rPr lang="sr-Latn-CS" sz="800" b="0"/>
                  <a:t>)</a:t>
                </a:r>
                <a:endParaRPr lang="en-US" sz="800" b="0"/>
              </a:p>
            </c:rich>
          </c:tx>
        </c:title>
        <c:numFmt formatCode="General" sourceLinked="1"/>
        <c:tickLblPos val="nextTo"/>
        <c:txPr>
          <a:bodyPr/>
          <a:lstStyle/>
          <a:p>
            <a:pPr>
              <a:defRPr sz="800"/>
            </a:pPr>
            <a:endParaRPr lang="en-US"/>
          </a:p>
        </c:txPr>
        <c:crossAx val="120931072"/>
        <c:crosses val="autoZero"/>
        <c:crossBetween val="midCat"/>
        <c:majorUnit val="0.15000000000000024"/>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0.38353</cdr:x>
      <cdr:y>0.63991</cdr:y>
    </cdr:from>
    <cdr:to>
      <cdr:x>0.48767</cdr:x>
      <cdr:y>0.75499</cdr:y>
    </cdr:to>
    <cdr:sp macro="" textlink="">
      <cdr:nvSpPr>
        <cdr:cNvPr id="2" name="TextBox 1"/>
        <cdr:cNvSpPr txBox="1"/>
      </cdr:nvSpPr>
      <cdr:spPr>
        <a:xfrm xmlns:a="http://schemas.openxmlformats.org/drawingml/2006/main">
          <a:off x="925685" y="966026"/>
          <a:ext cx="251352" cy="17372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800"/>
            <a:t>HU</a:t>
          </a:r>
        </a:p>
      </cdr:txBody>
    </cdr:sp>
  </cdr:relSizeAnchor>
  <cdr:relSizeAnchor xmlns:cdr="http://schemas.openxmlformats.org/drawingml/2006/chartDrawing">
    <cdr:from>
      <cdr:x>0.31889</cdr:x>
      <cdr:y>0.35022</cdr:y>
    </cdr:from>
    <cdr:to>
      <cdr:x>0.40867</cdr:x>
      <cdr:y>0.42486</cdr:y>
    </cdr:to>
    <cdr:sp macro="" textlink="">
      <cdr:nvSpPr>
        <cdr:cNvPr id="3" name="TextBox 2"/>
        <cdr:cNvSpPr txBox="1"/>
      </cdr:nvSpPr>
      <cdr:spPr>
        <a:xfrm xmlns:a="http://schemas.openxmlformats.org/drawingml/2006/main">
          <a:off x="769674" y="528706"/>
          <a:ext cx="216682" cy="1126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800"/>
            <a:t>LV</a:t>
          </a:r>
        </a:p>
      </cdr:txBody>
    </cdr:sp>
  </cdr:relSizeAnchor>
  <cdr:relSizeAnchor xmlns:cdr="http://schemas.openxmlformats.org/drawingml/2006/chartDrawing">
    <cdr:from>
      <cdr:x>0.59882</cdr:x>
      <cdr:y>0.14469</cdr:y>
    </cdr:from>
    <cdr:to>
      <cdr:x>0.64937</cdr:x>
      <cdr:y>0.23149</cdr:y>
    </cdr:to>
    <cdr:sp macro="" textlink="">
      <cdr:nvSpPr>
        <cdr:cNvPr id="4" name="TextBox 3"/>
        <cdr:cNvSpPr txBox="1"/>
      </cdr:nvSpPr>
      <cdr:spPr>
        <a:xfrm xmlns:a="http://schemas.openxmlformats.org/drawingml/2006/main">
          <a:off x="1445315" y="218433"/>
          <a:ext cx="122008" cy="13103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800"/>
            <a:t>FR</a:t>
          </a:r>
        </a:p>
      </cdr:txBody>
    </cdr:sp>
  </cdr:relSizeAnchor>
  <cdr:relSizeAnchor xmlns:cdr="http://schemas.openxmlformats.org/drawingml/2006/chartDrawing">
    <cdr:from>
      <cdr:x>0.85729</cdr:x>
      <cdr:y>0.18986</cdr:y>
    </cdr:from>
    <cdr:to>
      <cdr:x>0.91379</cdr:x>
      <cdr:y>0.26923</cdr:y>
    </cdr:to>
    <cdr:sp macro="" textlink="">
      <cdr:nvSpPr>
        <cdr:cNvPr id="5" name="TextBox 4"/>
        <cdr:cNvSpPr txBox="1"/>
      </cdr:nvSpPr>
      <cdr:spPr>
        <a:xfrm xmlns:a="http://schemas.openxmlformats.org/drawingml/2006/main">
          <a:off x="2069156" y="286619"/>
          <a:ext cx="136369" cy="11981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800"/>
            <a:t>DE</a:t>
          </a:r>
        </a:p>
      </cdr:txBody>
    </cdr:sp>
  </cdr:relSizeAnchor>
  <cdr:relSizeAnchor xmlns:cdr="http://schemas.openxmlformats.org/drawingml/2006/chartDrawing">
    <cdr:from>
      <cdr:x>0.74071</cdr:x>
      <cdr:y>0.32184</cdr:y>
    </cdr:from>
    <cdr:to>
      <cdr:x>0.79274</cdr:x>
      <cdr:y>0.39873</cdr:y>
    </cdr:to>
    <cdr:sp macro="" textlink="">
      <cdr:nvSpPr>
        <cdr:cNvPr id="6" name="TextBox 5"/>
        <cdr:cNvSpPr txBox="1"/>
      </cdr:nvSpPr>
      <cdr:spPr>
        <a:xfrm xmlns:a="http://schemas.openxmlformats.org/drawingml/2006/main">
          <a:off x="1787777" y="485853"/>
          <a:ext cx="125579" cy="116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800"/>
            <a:t>BE</a:t>
          </a:r>
        </a:p>
      </cdr:txBody>
    </cdr:sp>
  </cdr:relSizeAnchor>
  <cdr:relSizeAnchor xmlns:cdr="http://schemas.openxmlformats.org/drawingml/2006/chartDrawing">
    <cdr:from>
      <cdr:x>0.80383</cdr:x>
      <cdr:y>0.26036</cdr:y>
    </cdr:from>
    <cdr:to>
      <cdr:x>0.86181</cdr:x>
      <cdr:y>0.33972</cdr:y>
    </cdr:to>
    <cdr:sp macro="" textlink="">
      <cdr:nvSpPr>
        <cdr:cNvPr id="7" name="TextBox 6"/>
        <cdr:cNvSpPr txBox="1"/>
      </cdr:nvSpPr>
      <cdr:spPr>
        <a:xfrm xmlns:a="http://schemas.openxmlformats.org/drawingml/2006/main">
          <a:off x="1940119" y="393052"/>
          <a:ext cx="139941" cy="11980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800"/>
            <a:t>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ED820-F176-4363-AF40-AE3E3A01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sablona2003</Template>
  <TotalTime>6</TotalTime>
  <Pages>8</Pages>
  <Words>2573</Words>
  <Characters>14670</Characters>
  <Application>Microsoft Office Word</Application>
  <DocSecurity>0</DocSecurity>
  <Lines>122</Lines>
  <Paragraphs>34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PROCES POZNÁVÁNÍ MECHANISMU ADHEZE</vt:lpstr>
      <vt:lpstr>PROCES POZNÁVÁNÍ MECHANISMU ADHEZE</vt:lpstr>
    </vt:vector>
  </TitlesOfParts>
  <Company>Univerzita Pardubice - DFJP</Company>
  <LinksUpToDate>false</LinksUpToDate>
  <CharactersWithSpaces>17209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 POZNÁVÁNÍ MECHANISMU ADHEZE</dc:title>
  <dc:subject/>
  <dc:creator>KDMML</dc:creator>
  <cp:keywords/>
  <cp:lastModifiedBy>Mirjana Bugarinovic</cp:lastModifiedBy>
  <cp:revision>3</cp:revision>
  <cp:lastPrinted>2009-10-16T08:48:00Z</cp:lastPrinted>
  <dcterms:created xsi:type="dcterms:W3CDTF">2009-11-02T15:18:00Z</dcterms:created>
  <dcterms:modified xsi:type="dcterms:W3CDTF">2009-11-02T15:26:00Z</dcterms:modified>
</cp:coreProperties>
</file>